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AEB1" w14:textId="16123A0D" w:rsidR="00756012" w:rsidRPr="00756012" w:rsidRDefault="00756012" w:rsidP="00756012">
      <w:pPr>
        <w:rPr>
          <w:rFonts w:ascii="Arial" w:eastAsia="宋体" w:hAnsi="Arial" w:cs="Arial"/>
          <w:b/>
          <w:kern w:val="0"/>
          <w:sz w:val="24"/>
          <w:szCs w:val="24"/>
          <w:lang w:val="en-GB"/>
        </w:rPr>
      </w:pPr>
      <w:r w:rsidRPr="00756012">
        <w:rPr>
          <w:rFonts w:ascii="Arial" w:eastAsia="宋体" w:hAnsi="Arial" w:cs="Arial"/>
          <w:b/>
          <w:kern w:val="0"/>
          <w:sz w:val="24"/>
          <w:szCs w:val="24"/>
          <w:lang w:val="en-GB"/>
        </w:rPr>
        <w:t>3GPP TSG-RAN WG4 Meeting #116</w:t>
      </w:r>
      <w:r w:rsidRPr="00756012">
        <w:rPr>
          <w:rFonts w:ascii="Arial" w:eastAsia="宋体" w:hAnsi="Arial" w:cs="Arial"/>
          <w:b/>
          <w:kern w:val="0"/>
          <w:sz w:val="24"/>
          <w:szCs w:val="24"/>
          <w:lang w:val="en-GB"/>
        </w:rPr>
        <w:tab/>
      </w:r>
      <w:r w:rsidRPr="00756012">
        <w:rPr>
          <w:rFonts w:ascii="Arial" w:eastAsia="宋体" w:hAnsi="Arial" w:cs="Arial"/>
          <w:b/>
          <w:kern w:val="0"/>
          <w:sz w:val="24"/>
          <w:szCs w:val="24"/>
          <w:lang w:val="en-GB"/>
        </w:rPr>
        <w:tab/>
      </w:r>
      <w:r w:rsidRPr="00756012">
        <w:rPr>
          <w:rFonts w:ascii="Arial" w:eastAsia="宋体" w:hAnsi="Arial" w:cs="Arial"/>
          <w:b/>
          <w:kern w:val="0"/>
          <w:sz w:val="24"/>
          <w:szCs w:val="24"/>
          <w:lang w:val="en-GB"/>
        </w:rPr>
        <w:tab/>
      </w:r>
      <w:r w:rsidRPr="00756012">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Pr>
          <w:rFonts w:ascii="Arial" w:eastAsia="宋体" w:hAnsi="Arial" w:cs="Arial"/>
          <w:b/>
          <w:kern w:val="0"/>
          <w:sz w:val="24"/>
          <w:szCs w:val="24"/>
          <w:lang w:val="en-GB"/>
        </w:rPr>
        <w:tab/>
      </w:r>
      <w:r w:rsidR="00AA7CCA" w:rsidRPr="00AA7CCA">
        <w:rPr>
          <w:rFonts w:ascii="Arial" w:eastAsia="宋体" w:hAnsi="Arial" w:cs="Arial"/>
          <w:b/>
          <w:kern w:val="0"/>
          <w:sz w:val="24"/>
          <w:szCs w:val="24"/>
          <w:lang w:val="en-GB"/>
        </w:rPr>
        <w:t>R4-2509772</w:t>
      </w:r>
    </w:p>
    <w:p w14:paraId="3211CE75" w14:textId="77777777" w:rsidR="00756012" w:rsidRDefault="00756012" w:rsidP="00756012">
      <w:pPr>
        <w:rPr>
          <w:rFonts w:ascii="Arial" w:eastAsia="宋体" w:hAnsi="Arial" w:cs="Arial"/>
          <w:b/>
          <w:kern w:val="0"/>
          <w:sz w:val="24"/>
          <w:szCs w:val="24"/>
          <w:lang w:val="en-GB"/>
        </w:rPr>
      </w:pPr>
      <w:r w:rsidRPr="00756012">
        <w:rPr>
          <w:rFonts w:ascii="Arial" w:eastAsia="宋体" w:hAnsi="Arial" w:cs="Arial"/>
          <w:b/>
          <w:kern w:val="0"/>
          <w:sz w:val="24"/>
          <w:szCs w:val="24"/>
          <w:lang w:val="en-GB"/>
        </w:rPr>
        <w:t>Bengaluru, India, August 25th – 29th, 2025</w:t>
      </w:r>
    </w:p>
    <w:p w14:paraId="3EA1A6F3" w14:textId="760D03F2" w:rsidR="004E3E93" w:rsidRPr="003B73B5" w:rsidRDefault="004E3E93" w:rsidP="00756012">
      <w:pPr>
        <w:rPr>
          <w:rFonts w:ascii="Arial" w:hAnsi="Arial" w:cs="Arial"/>
          <w:sz w:val="16"/>
          <w:szCs w:val="16"/>
        </w:rPr>
      </w:pPr>
      <w:r w:rsidRPr="006D409C">
        <w:rPr>
          <w:rFonts w:ascii="Arial" w:hAnsi="Arial" w:cs="Arial"/>
          <w:b/>
        </w:rPr>
        <w:t>Agenda Item:</w:t>
      </w:r>
      <w:r w:rsidRPr="006D409C">
        <w:rPr>
          <w:rFonts w:ascii="Arial" w:hAnsi="Arial" w:cs="Arial"/>
          <w:b/>
        </w:rPr>
        <w:tab/>
      </w:r>
      <w:r w:rsidR="003B73B5">
        <w:rPr>
          <w:rFonts w:ascii="Arial" w:hAnsi="Arial" w:cs="Arial"/>
          <w:b/>
        </w:rPr>
        <w:tab/>
      </w:r>
      <w:r w:rsidR="003B73B5">
        <w:rPr>
          <w:rFonts w:ascii="Arial" w:hAnsi="Arial" w:cs="Arial"/>
          <w:b/>
        </w:rPr>
        <w:tab/>
      </w:r>
      <w:r w:rsidR="003B73B5" w:rsidRPr="003B73B5">
        <w:rPr>
          <w:rFonts w:ascii="Arial" w:hAnsi="Arial" w:cs="Arial"/>
          <w:b/>
          <w:sz w:val="20"/>
          <w:szCs w:val="20"/>
          <w:lang w:val="en-GB"/>
        </w:rPr>
        <w:t>7.</w:t>
      </w:r>
      <w:r w:rsidR="00756012">
        <w:rPr>
          <w:rFonts w:ascii="Arial" w:hAnsi="Arial" w:cs="Arial"/>
          <w:b/>
          <w:sz w:val="20"/>
          <w:szCs w:val="20"/>
          <w:lang w:val="en-GB"/>
        </w:rPr>
        <w:t>6.3.2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rPr>
        <w:t>Xiaomi</w:t>
      </w:r>
    </w:p>
    <w:p w14:paraId="177266E6" w14:textId="41874E47" w:rsidR="00356B01" w:rsidRPr="005E1368" w:rsidRDefault="00356B01" w:rsidP="005E1368">
      <w:pPr>
        <w:rPr>
          <w:rFonts w:ascii="Arial" w:hAnsi="Arial" w:cs="Arial"/>
          <w:sz w:val="16"/>
          <w:szCs w:val="16"/>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3B73B5">
        <w:rPr>
          <w:rFonts w:ascii="Arial" w:hAnsi="Arial" w:cs="Arial"/>
          <w:b/>
        </w:rPr>
        <w:t xml:space="preserve">RF requirements for </w:t>
      </w:r>
      <w:r w:rsidR="003B73B5">
        <w:rPr>
          <w:rFonts w:ascii="Arial" w:hAnsi="Arial" w:cs="Arial" w:hint="eastAsia"/>
          <w:b/>
        </w:rPr>
        <w:t>NR-NTN</w:t>
      </w:r>
      <w:r w:rsidR="003B73B5">
        <w:rPr>
          <w:rFonts w:ascii="Arial" w:hAnsi="Arial" w:cs="Arial"/>
          <w:b/>
        </w:rPr>
        <w:t xml:space="preserve"> </w:t>
      </w:r>
    </w:p>
    <w:p w14:paraId="1AE2556E" w14:textId="105DF42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sidR="00DC371A">
        <w:rPr>
          <w:rFonts w:ascii="Arial" w:hAnsi="Arial" w:cs="Arial" w:hint="eastAsia"/>
          <w:b/>
        </w:rPr>
        <w:t>Discussion</w:t>
      </w:r>
    </w:p>
    <w:p w14:paraId="6445154C" w14:textId="6EE844F9" w:rsidR="009B37B2" w:rsidRDefault="00825D14" w:rsidP="00F05C38">
      <w:pPr>
        <w:pStyle w:val="1"/>
        <w:numPr>
          <w:ilvl w:val="0"/>
          <w:numId w:val="4"/>
        </w:numPr>
        <w:rPr>
          <w:lang w:eastAsia="ja-JP"/>
        </w:rPr>
      </w:pPr>
      <w:r>
        <w:rPr>
          <w:rFonts w:hint="eastAsia"/>
          <w:lang w:eastAsia="ja-JP"/>
        </w:rPr>
        <w:t>Introduction</w:t>
      </w:r>
    </w:p>
    <w:p w14:paraId="5FAAE437" w14:textId="79C3040C" w:rsidR="003B73B5" w:rsidRDefault="003B73B5" w:rsidP="003B73B5">
      <w:pPr>
        <w:rPr>
          <w:lang w:val="sv-SE"/>
        </w:rPr>
      </w:pPr>
      <w:r>
        <w:rPr>
          <w:rFonts w:hint="eastAsia"/>
          <w:lang w:val="sv-SE"/>
        </w:rPr>
        <w:t>R</w:t>
      </w:r>
      <w:r>
        <w:rPr>
          <w:lang w:val="sv-SE"/>
        </w:rPr>
        <w:t>el-19 NTN agreed to introduce HPUE for NR-NTN operation for uplink coverage imp</w:t>
      </w:r>
      <w:r w:rsidR="0071684C">
        <w:rPr>
          <w:lang w:val="sv-SE"/>
        </w:rPr>
        <w:t xml:space="preserve">rovement. </w:t>
      </w:r>
    </w:p>
    <w:tbl>
      <w:tblPr>
        <w:tblStyle w:val="afd"/>
        <w:tblW w:w="0" w:type="auto"/>
        <w:tblLook w:val="04A0" w:firstRow="1" w:lastRow="0" w:firstColumn="1" w:lastColumn="0" w:noHBand="0" w:noVBand="1"/>
      </w:tblPr>
      <w:tblGrid>
        <w:gridCol w:w="9631"/>
      </w:tblGrid>
      <w:tr w:rsidR="004A311B" w14:paraId="5380D0C1" w14:textId="77777777" w:rsidTr="004A311B">
        <w:tc>
          <w:tcPr>
            <w:tcW w:w="9631" w:type="dxa"/>
          </w:tcPr>
          <w:p w14:paraId="1F1F3CF5" w14:textId="77777777" w:rsidR="004A311B" w:rsidRDefault="004A311B" w:rsidP="004A311B">
            <w:r>
              <w:rPr>
                <w:rFonts w:hint="eastAsia"/>
                <w:b/>
              </w:rPr>
              <w:t>High power UE (HPUE) for NTN</w:t>
            </w:r>
          </w:p>
          <w:p w14:paraId="0C724D43" w14:textId="77777777" w:rsidR="004A311B" w:rsidRDefault="004A311B" w:rsidP="004A311B">
            <w:pPr>
              <w:pStyle w:val="aff6"/>
              <w:numPr>
                <w:ilvl w:val="0"/>
                <w:numId w:val="28"/>
              </w:numPr>
              <w:overflowPunct/>
              <w:autoSpaceDE/>
              <w:autoSpaceDN/>
              <w:adjustRightInd/>
              <w:ind w:firstLineChars="0"/>
              <w:jc w:val="left"/>
              <w:textAlignment w:val="auto"/>
            </w:pPr>
            <w:r>
              <w:t>Conduct the coexistence analysis based on TR 38.863 for the above example bands and corresponding power classes</w:t>
            </w:r>
          </w:p>
          <w:p w14:paraId="180ACE0C" w14:textId="77777777" w:rsidR="004A311B" w:rsidRDefault="004A311B" w:rsidP="004A311B">
            <w:pPr>
              <w:pStyle w:val="aff6"/>
              <w:numPr>
                <w:ilvl w:val="1"/>
                <w:numId w:val="28"/>
              </w:numPr>
              <w:overflowPunct/>
              <w:autoSpaceDE/>
              <w:autoSpaceDN/>
              <w:adjustRightInd/>
              <w:ind w:firstLineChars="0"/>
              <w:jc w:val="left"/>
              <w:textAlignment w:val="auto"/>
            </w:pPr>
            <w:r>
              <w:t>Evaluate the impact on the uplink performance of TN (Terrestrial network)</w:t>
            </w:r>
          </w:p>
          <w:p w14:paraId="718F5981" w14:textId="77777777" w:rsidR="004A311B" w:rsidRDefault="004A311B" w:rsidP="004A311B">
            <w:pPr>
              <w:pStyle w:val="aff6"/>
              <w:numPr>
                <w:ilvl w:val="2"/>
                <w:numId w:val="28"/>
              </w:numPr>
              <w:overflowPunct/>
              <w:autoSpaceDE/>
              <w:autoSpaceDN/>
              <w:adjustRightInd/>
              <w:ind w:firstLineChars="0"/>
              <w:jc w:val="left"/>
              <w:textAlignment w:val="auto"/>
            </w:pPr>
            <w:r>
              <w:t>Example bands include bands n256 and 256, n255 and 255</w:t>
            </w:r>
          </w:p>
          <w:p w14:paraId="23699E14" w14:textId="77777777" w:rsidR="004A311B" w:rsidRDefault="004A311B" w:rsidP="004A311B">
            <w:pPr>
              <w:pStyle w:val="aff6"/>
              <w:numPr>
                <w:ilvl w:val="2"/>
                <w:numId w:val="28"/>
              </w:numPr>
              <w:overflowPunct/>
              <w:autoSpaceDE/>
              <w:autoSpaceDN/>
              <w:adjustRightInd/>
              <w:ind w:firstLineChars="0"/>
              <w:jc w:val="left"/>
              <w:textAlignment w:val="auto"/>
            </w:pPr>
            <w:r>
              <w:t>PC2, PC1.5 (for NR-NTN only) and PC1 will be evaluated for ACLR and ACS</w:t>
            </w:r>
          </w:p>
          <w:p w14:paraId="25E2349E" w14:textId="77777777" w:rsidR="004A311B" w:rsidRDefault="004A311B" w:rsidP="004A311B">
            <w:pPr>
              <w:pStyle w:val="aff6"/>
              <w:numPr>
                <w:ilvl w:val="2"/>
                <w:numId w:val="28"/>
              </w:numPr>
              <w:overflowPunct/>
              <w:autoSpaceDE/>
              <w:autoSpaceDN/>
              <w:adjustRightInd/>
              <w:ind w:firstLineChars="0"/>
              <w:jc w:val="left"/>
              <w:textAlignment w:val="auto"/>
            </w:pPr>
            <w:r>
              <w:t>For NR-NTN and IoT-NTN: coexistence studies shall be carried out under the same conditions, including geographical separation between NTN UE and Terrestrial Networks (TN), as the co-existence studies in Rel-17 and Rel-18</w:t>
            </w:r>
          </w:p>
          <w:p w14:paraId="72095295" w14:textId="77777777" w:rsidR="004A311B" w:rsidRDefault="004A311B" w:rsidP="004A311B">
            <w:pPr>
              <w:pStyle w:val="aff6"/>
              <w:numPr>
                <w:ilvl w:val="0"/>
                <w:numId w:val="28"/>
              </w:numPr>
              <w:overflowPunct/>
              <w:autoSpaceDE/>
              <w:autoSpaceDN/>
              <w:adjustRightInd/>
              <w:ind w:firstLineChars="0"/>
              <w:jc w:val="left"/>
              <w:textAlignment w:val="auto"/>
            </w:pPr>
            <w:r>
              <w:t>Specify high power UE (HPUE) for NR-NTN (Non-Terrestrial Networks) and IoT-NTN (NB-IoT and eMTC based NTN) in FR1-NTN bands and the corresponding LTE NTN bands for the single uplink (UL) carrier scenario</w:t>
            </w:r>
          </w:p>
          <w:p w14:paraId="6AB21F61" w14:textId="77777777" w:rsidR="004A311B" w:rsidRDefault="004A311B" w:rsidP="004A311B">
            <w:pPr>
              <w:pStyle w:val="aff6"/>
              <w:numPr>
                <w:ilvl w:val="1"/>
                <w:numId w:val="28"/>
              </w:numPr>
              <w:overflowPunct/>
              <w:autoSpaceDE/>
              <w:autoSpaceDN/>
              <w:adjustRightInd/>
              <w:ind w:firstLineChars="0"/>
              <w:jc w:val="left"/>
              <w:textAlignment w:val="auto"/>
            </w:pPr>
            <w:r>
              <w:t>Support UE with power class 2 (PC2, 26 dBm) that applies to both handheld and non-handheld based on the co-existence study.</w:t>
            </w:r>
          </w:p>
          <w:p w14:paraId="4E6AB2D1" w14:textId="77777777" w:rsidR="004A311B" w:rsidRDefault="004A311B" w:rsidP="004A311B">
            <w:pPr>
              <w:pStyle w:val="aff6"/>
              <w:numPr>
                <w:ilvl w:val="1"/>
                <w:numId w:val="28"/>
              </w:numPr>
              <w:overflowPunct/>
              <w:autoSpaceDE/>
              <w:autoSpaceDN/>
              <w:adjustRightInd/>
              <w:ind w:firstLineChars="0"/>
              <w:jc w:val="left"/>
              <w:textAlignment w:val="auto"/>
            </w:pPr>
            <w:r>
              <w:t>Support other power classes based on the co-existence and feasibility study</w:t>
            </w:r>
          </w:p>
          <w:p w14:paraId="6E5AC8F3" w14:textId="77777777" w:rsidR="004A311B" w:rsidRDefault="004A311B" w:rsidP="004A311B">
            <w:pPr>
              <w:pStyle w:val="aff6"/>
              <w:numPr>
                <w:ilvl w:val="2"/>
                <w:numId w:val="28"/>
              </w:numPr>
              <w:overflowPunct/>
              <w:autoSpaceDE/>
              <w:autoSpaceDN/>
              <w:adjustRightInd/>
              <w:ind w:firstLineChars="0"/>
              <w:jc w:val="left"/>
              <w:textAlignment w:val="auto"/>
            </w:pPr>
            <w:r>
              <w:t>Non-hand held UE is prioritized</w:t>
            </w:r>
          </w:p>
          <w:p w14:paraId="2BDC07FE" w14:textId="77777777" w:rsidR="004A311B" w:rsidRDefault="004A311B" w:rsidP="004A311B">
            <w:pPr>
              <w:pStyle w:val="aff6"/>
              <w:numPr>
                <w:ilvl w:val="1"/>
                <w:numId w:val="28"/>
              </w:numPr>
              <w:overflowPunct/>
              <w:autoSpaceDE/>
              <w:autoSpaceDN/>
              <w:adjustRightInd/>
              <w:ind w:firstLineChars="0"/>
              <w:jc w:val="left"/>
              <w:textAlignment w:val="auto"/>
            </w:pPr>
            <w:r>
              <w:t>Specify RF requirements for all considered power classes for NR-NTN and IoT-NTN in FR1-NTN bands and the corresponding LTE NTN bands</w:t>
            </w:r>
          </w:p>
          <w:p w14:paraId="332B5C89" w14:textId="77777777" w:rsidR="004A311B" w:rsidRDefault="004A311B" w:rsidP="004A311B">
            <w:pPr>
              <w:pStyle w:val="aff6"/>
              <w:numPr>
                <w:ilvl w:val="2"/>
                <w:numId w:val="28"/>
              </w:numPr>
              <w:overflowPunct/>
              <w:autoSpaceDE/>
              <w:autoSpaceDN/>
              <w:adjustRightInd/>
              <w:ind w:firstLineChars="0"/>
              <w:jc w:val="left"/>
              <w:textAlignment w:val="auto"/>
            </w:pPr>
            <w:r>
              <w:t>Necessary Tx requirements, at least including</w:t>
            </w:r>
          </w:p>
          <w:p w14:paraId="2189D5A1" w14:textId="77777777" w:rsidR="004A311B" w:rsidRDefault="004A311B" w:rsidP="004A311B">
            <w:pPr>
              <w:pStyle w:val="aff6"/>
              <w:numPr>
                <w:ilvl w:val="3"/>
                <w:numId w:val="28"/>
              </w:numPr>
              <w:overflowPunct/>
              <w:autoSpaceDE/>
              <w:autoSpaceDN/>
              <w:adjustRightInd/>
              <w:ind w:firstLineChars="0"/>
              <w:jc w:val="left"/>
              <w:textAlignment w:val="auto"/>
            </w:pPr>
            <w:r>
              <w:t>Investigate and if necessary, specify the solution to address potential SAR (Specific Absorption Rate restriction) requirements for handheld UE</w:t>
            </w:r>
          </w:p>
          <w:p w14:paraId="3FD53D82" w14:textId="77777777" w:rsidR="004A311B" w:rsidRDefault="004A311B" w:rsidP="004A311B">
            <w:pPr>
              <w:pStyle w:val="aff6"/>
              <w:numPr>
                <w:ilvl w:val="3"/>
                <w:numId w:val="28"/>
              </w:numPr>
              <w:overflowPunct/>
              <w:autoSpaceDE/>
              <w:autoSpaceDN/>
              <w:adjustRightInd/>
              <w:ind w:firstLineChars="0"/>
              <w:jc w:val="left"/>
              <w:textAlignment w:val="auto"/>
            </w:pPr>
            <w:r>
              <w:t>Specify MPR and A-MPR for the example bands considering the regulation for the corresponding bands, if necessary</w:t>
            </w:r>
          </w:p>
          <w:p w14:paraId="72A56AA8" w14:textId="77777777" w:rsidR="004A311B" w:rsidRDefault="004A311B" w:rsidP="004A311B">
            <w:pPr>
              <w:pStyle w:val="aff6"/>
              <w:numPr>
                <w:ilvl w:val="2"/>
                <w:numId w:val="28"/>
              </w:numPr>
              <w:overflowPunct/>
              <w:autoSpaceDE/>
              <w:autoSpaceDN/>
              <w:adjustRightInd/>
              <w:ind w:firstLineChars="0"/>
              <w:jc w:val="left"/>
              <w:textAlignment w:val="auto"/>
            </w:pPr>
            <w:r>
              <w:t>Necessary Rx requirements, at least including</w:t>
            </w:r>
          </w:p>
          <w:p w14:paraId="4EF9A558" w14:textId="77777777" w:rsidR="004A311B" w:rsidRDefault="004A311B" w:rsidP="004A311B">
            <w:pPr>
              <w:pStyle w:val="aff6"/>
              <w:numPr>
                <w:ilvl w:val="3"/>
                <w:numId w:val="28"/>
              </w:numPr>
              <w:overflowPunct/>
              <w:autoSpaceDE/>
              <w:autoSpaceDN/>
              <w:adjustRightInd/>
              <w:ind w:firstLineChars="0"/>
              <w:jc w:val="left"/>
              <w:textAlignment w:val="auto"/>
            </w:pPr>
            <w:r>
              <w:t>Specify the RSD requirements on the example bands, if necessary</w:t>
            </w:r>
          </w:p>
          <w:p w14:paraId="29238A63" w14:textId="627EA7A1" w:rsidR="004A311B" w:rsidRPr="004A311B" w:rsidRDefault="004A311B" w:rsidP="004A311B">
            <w:pPr>
              <w:pStyle w:val="aff6"/>
              <w:numPr>
                <w:ilvl w:val="0"/>
                <w:numId w:val="28"/>
              </w:numPr>
              <w:overflowPunct/>
              <w:autoSpaceDE/>
              <w:autoSpaceDN/>
              <w:adjustRightInd/>
              <w:ind w:firstLineChars="0"/>
              <w:textAlignment w:val="auto"/>
            </w:pPr>
            <w:r>
              <w:t>Specify the necessary signaling to support the above objectives</w:t>
            </w:r>
          </w:p>
        </w:tc>
      </w:tr>
    </w:tbl>
    <w:p w14:paraId="497F395E" w14:textId="77777777" w:rsidR="004A311B" w:rsidRDefault="004A311B" w:rsidP="003B73B5">
      <w:pPr>
        <w:rPr>
          <w:lang w:val="sv-SE"/>
        </w:rPr>
      </w:pPr>
    </w:p>
    <w:p w14:paraId="424456AF" w14:textId="1456A4DB" w:rsidR="004E33B5" w:rsidRPr="005E1368" w:rsidRDefault="004E33B5" w:rsidP="005E1368">
      <w:pPr>
        <w:rPr>
          <w:lang w:val="sv-SE"/>
        </w:rPr>
      </w:pPr>
      <w:r>
        <w:rPr>
          <w:rFonts w:hint="eastAsia"/>
          <w:lang w:val="sv-SE"/>
        </w:rPr>
        <w:t>I</w:t>
      </w:r>
      <w:r>
        <w:rPr>
          <w:lang w:val="sv-SE"/>
        </w:rPr>
        <w:t>n this contribution, views on remaining open issues were provi</w:t>
      </w:r>
      <w:r w:rsidRPr="003B73B5">
        <w:rPr>
          <w:szCs w:val="21"/>
          <w:lang w:val="sv-SE"/>
        </w:rPr>
        <w:t xml:space="preserve">ded. </w:t>
      </w:r>
    </w:p>
    <w:p w14:paraId="5E28CDC0" w14:textId="29A20362" w:rsidR="00771728" w:rsidRDefault="0062292E" w:rsidP="00F05C38">
      <w:pPr>
        <w:pStyle w:val="1"/>
        <w:numPr>
          <w:ilvl w:val="0"/>
          <w:numId w:val="4"/>
        </w:numPr>
        <w:rPr>
          <w:lang w:val="en-GB" w:eastAsia="ja-JP"/>
        </w:rPr>
      </w:pPr>
      <w:r>
        <w:rPr>
          <w:lang w:val="en-GB" w:eastAsia="ja-JP"/>
        </w:rPr>
        <w:t>Discussion</w:t>
      </w:r>
    </w:p>
    <w:p w14:paraId="47689461" w14:textId="77777777" w:rsidR="00D9495E" w:rsidRPr="00D9495E" w:rsidRDefault="00D9495E" w:rsidP="00D9495E">
      <w:pPr>
        <w:rPr>
          <w:rFonts w:eastAsia="Yu Mincho"/>
          <w:lang w:val="sv-SE" w:eastAsia="ja-JP"/>
        </w:rPr>
      </w:pPr>
    </w:p>
    <w:tbl>
      <w:tblPr>
        <w:tblStyle w:val="afd"/>
        <w:tblW w:w="0" w:type="auto"/>
        <w:tblLook w:val="04A0" w:firstRow="1" w:lastRow="0" w:firstColumn="1" w:lastColumn="0" w:noHBand="0" w:noVBand="1"/>
      </w:tblPr>
      <w:tblGrid>
        <w:gridCol w:w="9631"/>
      </w:tblGrid>
      <w:tr w:rsidR="00D9495E" w14:paraId="33253A5B" w14:textId="77777777" w:rsidTr="00D9495E">
        <w:tc>
          <w:tcPr>
            <w:tcW w:w="9631" w:type="dxa"/>
          </w:tcPr>
          <w:p w14:paraId="363C7892" w14:textId="77777777" w:rsidR="00D9495E" w:rsidRPr="00517839" w:rsidRDefault="00D9495E" w:rsidP="00D9495E">
            <w:pPr>
              <w:rPr>
                <w:b/>
                <w:u w:val="single"/>
              </w:rPr>
            </w:pPr>
            <w:r w:rsidRPr="00517839">
              <w:rPr>
                <w:b/>
                <w:u w:val="single"/>
              </w:rPr>
              <w:lastRenderedPageBreak/>
              <w:t>Issue 1-1: Configured Tx power equation</w:t>
            </w:r>
          </w:p>
          <w:p w14:paraId="48EA45C4" w14:textId="77777777" w:rsidR="00D9495E" w:rsidRPr="00517839" w:rsidRDefault="00D9495E" w:rsidP="00D9495E">
            <w:pPr>
              <w:rPr>
                <w:b/>
                <w:bCs/>
                <w:iCs/>
              </w:rPr>
            </w:pPr>
            <w:r w:rsidRPr="00517839">
              <w:rPr>
                <w:rFonts w:hint="eastAsia"/>
                <w:b/>
                <w:bCs/>
                <w:iCs/>
              </w:rPr>
              <w:t>A</w:t>
            </w:r>
            <w:r w:rsidRPr="00517839">
              <w:rPr>
                <w:b/>
                <w:bCs/>
                <w:iCs/>
              </w:rPr>
              <w:t>greement:</w:t>
            </w:r>
          </w:p>
          <w:p w14:paraId="5E834A0A" w14:textId="77777777" w:rsidR="00D9495E" w:rsidRPr="00517839" w:rsidRDefault="00D9495E" w:rsidP="00D9495E">
            <w:pPr>
              <w:pStyle w:val="aff6"/>
              <w:numPr>
                <w:ilvl w:val="0"/>
                <w:numId w:val="25"/>
              </w:numPr>
              <w:spacing w:line="240" w:lineRule="auto"/>
              <w:ind w:firstLineChars="0"/>
              <w:jc w:val="left"/>
            </w:pPr>
            <w:r w:rsidRPr="00517839">
              <w:t>Agree to clarify and correct the configured transmitted power equation for NTN</w:t>
            </w:r>
          </w:p>
          <w:p w14:paraId="6DBC59AA" w14:textId="77777777" w:rsidR="00D9495E" w:rsidRPr="00D9495E" w:rsidRDefault="00D9495E" w:rsidP="00D9495E">
            <w:pPr>
              <w:pStyle w:val="aff6"/>
              <w:numPr>
                <w:ilvl w:val="1"/>
                <w:numId w:val="25"/>
              </w:numPr>
              <w:spacing w:line="240" w:lineRule="auto"/>
              <w:ind w:firstLineChars="0"/>
              <w:jc w:val="left"/>
            </w:pPr>
            <w:r w:rsidRPr="00D9495E">
              <w:t>[∆TC,c], ∆TIB,c , [∆TRxSRS] are not applicable to Rel-19 NR-NTN UE</w:t>
            </w:r>
          </w:p>
          <w:p w14:paraId="6DC8CE82" w14:textId="77777777" w:rsidR="00D9495E" w:rsidRPr="00D9495E" w:rsidRDefault="00D9495E" w:rsidP="00D9495E">
            <w:pPr>
              <w:pStyle w:val="aff6"/>
              <w:numPr>
                <w:ilvl w:val="1"/>
                <w:numId w:val="25"/>
              </w:numPr>
              <w:spacing w:line="240" w:lineRule="auto"/>
              <w:ind w:firstLineChars="0"/>
              <w:jc w:val="left"/>
            </w:pPr>
            <w:r w:rsidRPr="00D9495E">
              <w:t>FFS ΔPPowerClass</w:t>
            </w:r>
          </w:p>
          <w:p w14:paraId="4BA745E4" w14:textId="77777777" w:rsidR="00D9495E" w:rsidRPr="00517839" w:rsidRDefault="00D9495E" w:rsidP="00D9495E">
            <w:pPr>
              <w:pStyle w:val="aff6"/>
              <w:numPr>
                <w:ilvl w:val="1"/>
                <w:numId w:val="25"/>
              </w:numPr>
              <w:spacing w:line="240" w:lineRule="auto"/>
              <w:ind w:firstLineChars="0"/>
              <w:jc w:val="left"/>
            </w:pPr>
            <w:r w:rsidRPr="00517839">
              <w:t>For ΔPPowerBoost, Rel-18 power boosting should be applicable to NR-NTN.</w:t>
            </w:r>
          </w:p>
          <w:p w14:paraId="6B310E9F" w14:textId="77777777" w:rsidR="00D9495E" w:rsidRPr="00517839" w:rsidRDefault="00D9495E" w:rsidP="00D9495E">
            <w:pPr>
              <w:pStyle w:val="aff6"/>
              <w:numPr>
                <w:ilvl w:val="0"/>
                <w:numId w:val="25"/>
              </w:numPr>
              <w:spacing w:line="240" w:lineRule="auto"/>
              <w:ind w:firstLineChars="0"/>
              <w:jc w:val="left"/>
            </w:pPr>
            <w:r w:rsidRPr="00517839">
              <w:t xml:space="preserve">Regarding how to address </w:t>
            </w:r>
            <w:r w:rsidRPr="00517839">
              <w:rPr>
                <w:rFonts w:hint="eastAsia"/>
              </w:rPr>
              <w:t>t</w:t>
            </w:r>
            <w:r w:rsidRPr="00517839">
              <w:t>hese in CR drafting</w:t>
            </w:r>
            <w:r w:rsidRPr="00517839">
              <w:rPr>
                <w:rFonts w:hint="eastAsia"/>
              </w:rPr>
              <w:t>,</w:t>
            </w:r>
            <w:r w:rsidRPr="00517839">
              <w:t xml:space="preserve"> following approach is agreed.</w:t>
            </w:r>
          </w:p>
          <w:p w14:paraId="540ADEF3" w14:textId="77777777" w:rsidR="00D9495E" w:rsidRPr="00517839" w:rsidRDefault="00D9495E" w:rsidP="00D9495E">
            <w:pPr>
              <w:pStyle w:val="aff6"/>
              <w:numPr>
                <w:ilvl w:val="1"/>
                <w:numId w:val="25"/>
              </w:numPr>
              <w:spacing w:line="240" w:lineRule="auto"/>
              <w:ind w:firstLineChars="0"/>
              <w:jc w:val="left"/>
            </w:pPr>
            <w:r w:rsidRPr="00517839">
              <w:t>By referring to 38.101-1 and then exclude non-applicable parameters, e.g. ‘except for...’</w:t>
            </w:r>
          </w:p>
          <w:p w14:paraId="44B371E5" w14:textId="77777777" w:rsidR="00D9495E" w:rsidRPr="00D9495E" w:rsidRDefault="00D9495E" w:rsidP="0032028C">
            <w:pPr>
              <w:jc w:val="left"/>
              <w:rPr>
                <w:b/>
                <w:bCs/>
                <w:lang w:val="en-GB"/>
              </w:rPr>
            </w:pPr>
          </w:p>
        </w:tc>
      </w:tr>
    </w:tbl>
    <w:p w14:paraId="34E372FE" w14:textId="07492F94" w:rsidR="00AB3E92" w:rsidRDefault="00AB3E92" w:rsidP="0032028C">
      <w:pPr>
        <w:jc w:val="left"/>
        <w:rPr>
          <w:b/>
          <w:bCs/>
        </w:rPr>
      </w:pPr>
    </w:p>
    <w:p w14:paraId="1843C8C2" w14:textId="1C9CE096" w:rsidR="00C95E0C" w:rsidRPr="00C95E0C" w:rsidRDefault="00C95E0C" w:rsidP="0032028C">
      <w:pPr>
        <w:jc w:val="left"/>
      </w:pPr>
      <w:r w:rsidRPr="001D0283">
        <w:t>∆T</w:t>
      </w:r>
      <w:r w:rsidRPr="001D0283">
        <w:rPr>
          <w:vertAlign w:val="subscript"/>
        </w:rPr>
        <w:t>IB,c</w:t>
      </w:r>
      <w:r w:rsidRPr="001D0283">
        <w:t xml:space="preserve"> is the additional tolerance for serving cell c</w:t>
      </w:r>
      <w:r>
        <w:t xml:space="preserve"> </w:t>
      </w:r>
      <w:r>
        <w:rPr>
          <w:rFonts w:hint="eastAsia"/>
        </w:rPr>
        <w:t>for</w:t>
      </w:r>
      <w:r>
        <w:t xml:space="preserve"> CA, SUL EN-DC etc. which not applicated for NR-NTN UE.</w:t>
      </w:r>
      <w:r>
        <w:rPr>
          <w:rFonts w:hint="eastAsia"/>
        </w:rPr>
        <w:t xml:space="preserve"> </w:t>
      </w:r>
      <w:r>
        <w:t xml:space="preserve">Similarly, </w:t>
      </w:r>
      <w:r w:rsidRPr="00D9495E">
        <w:t>∆TRxSRS</w:t>
      </w:r>
      <w:r>
        <w:t xml:space="preserve"> requirement from the </w:t>
      </w:r>
      <w:r w:rsidRPr="001D0283">
        <w:t xml:space="preserve">SRS transmission occasions with </w:t>
      </w:r>
      <w:r w:rsidRPr="001D0283">
        <w:rPr>
          <w:i/>
          <w:iCs/>
        </w:rPr>
        <w:t>usage</w:t>
      </w:r>
      <w:r w:rsidRPr="001D0283">
        <w:t xml:space="preserve"> in </w:t>
      </w:r>
      <w:r w:rsidRPr="001D0283">
        <w:rPr>
          <w:i/>
          <w:color w:val="000000"/>
        </w:rPr>
        <w:t>SRS-ResourceSet</w:t>
      </w:r>
      <w:r>
        <w:rPr>
          <w:i/>
          <w:color w:val="000000"/>
        </w:rPr>
        <w:t xml:space="preserve"> for NR-NTN UE not applicated for NR-NTN UE </w:t>
      </w:r>
      <w:r w:rsidR="002D54C0">
        <w:rPr>
          <w:i/>
          <w:color w:val="000000"/>
        </w:rPr>
        <w:t>yet</w:t>
      </w:r>
      <w:r>
        <w:rPr>
          <w:i/>
          <w:color w:val="000000"/>
        </w:rPr>
        <w:t xml:space="preserve">. Therefore, </w:t>
      </w:r>
      <w:r>
        <w:rPr>
          <w:rFonts w:hint="eastAsia"/>
          <w:i/>
          <w:color w:val="000000"/>
        </w:rPr>
        <w:t>t</w:t>
      </w:r>
      <w:r>
        <w:rPr>
          <w:i/>
          <w:color w:val="000000"/>
        </w:rPr>
        <w:t>he values</w:t>
      </w:r>
      <w:r w:rsidR="002D54C0">
        <w:rPr>
          <w:i/>
          <w:color w:val="000000"/>
        </w:rPr>
        <w:t xml:space="preserve"> which reflect the effect from specific features</w:t>
      </w:r>
      <w:r>
        <w:rPr>
          <w:i/>
          <w:color w:val="000000"/>
        </w:rPr>
        <w:t xml:space="preserve"> can be removed from the </w:t>
      </w:r>
      <w:r w:rsidRPr="001D0283">
        <w:t>Configured transmitted power</w:t>
      </w:r>
      <w:r>
        <w:t xml:space="preserve"> equation in 38.101-5 for NR-NTN UE. These can be added in the future release when RAN4 discuss the features for NR-NTN UE. </w:t>
      </w:r>
    </w:p>
    <w:p w14:paraId="335D24D3" w14:textId="77777777" w:rsidR="001E1951" w:rsidRPr="003C42D7" w:rsidRDefault="001E1951" w:rsidP="003C42D7">
      <w:pPr>
        <w:jc w:val="left"/>
        <w:rPr>
          <w:b/>
          <w:bCs/>
        </w:rPr>
      </w:pPr>
    </w:p>
    <w:p w14:paraId="275E3A48" w14:textId="3D4A6565" w:rsidR="00D9495E" w:rsidRPr="000F64C7" w:rsidRDefault="00D9495E" w:rsidP="00D9495E">
      <w:pPr>
        <w:rPr>
          <w:b/>
          <w:bCs/>
          <w:lang w:val="en-GB"/>
        </w:rPr>
      </w:pPr>
      <w:r w:rsidRPr="003D196C">
        <w:rPr>
          <w:rFonts w:hint="eastAsia"/>
          <w:b/>
          <w:bCs/>
        </w:rPr>
        <w:t>P</w:t>
      </w:r>
      <w:r w:rsidRPr="003D196C">
        <w:rPr>
          <w:b/>
          <w:bCs/>
        </w:rPr>
        <w:t xml:space="preserve">roposal 1: </w:t>
      </w:r>
      <w:r w:rsidR="000F64C7">
        <w:rPr>
          <w:b/>
          <w:bCs/>
        </w:rPr>
        <w:t xml:space="preserve"> Remove the square bracket of </w:t>
      </w:r>
      <w:r w:rsidR="000F64C7" w:rsidRPr="000F64C7">
        <w:rPr>
          <w:b/>
          <w:bCs/>
        </w:rPr>
        <w:t>∆TC,c</w:t>
      </w:r>
      <w:r w:rsidR="000F64C7">
        <w:rPr>
          <w:b/>
          <w:bCs/>
        </w:rPr>
        <w:t xml:space="preserve"> and </w:t>
      </w:r>
      <w:r w:rsidR="000F64C7" w:rsidRPr="000F64C7">
        <w:rPr>
          <w:b/>
          <w:bCs/>
        </w:rPr>
        <w:t>∆TRxSRS</w:t>
      </w:r>
      <w:r w:rsidR="000F64C7">
        <w:rPr>
          <w:b/>
          <w:bCs/>
        </w:rPr>
        <w:t xml:space="preserve">, and </w:t>
      </w:r>
      <w:r w:rsidR="000F64C7" w:rsidRPr="000F64C7">
        <w:rPr>
          <w:b/>
          <w:bCs/>
        </w:rPr>
        <w:t>not applicable to Rel-19 NR-NTN UE</w:t>
      </w:r>
      <w:r w:rsidR="000F64C7">
        <w:rPr>
          <w:b/>
          <w:bCs/>
        </w:rPr>
        <w:t>.</w:t>
      </w:r>
    </w:p>
    <w:p w14:paraId="31FF738D" w14:textId="77777777" w:rsidR="00D9495E" w:rsidRDefault="00D9495E" w:rsidP="0032028C">
      <w:pPr>
        <w:jc w:val="left"/>
        <w:rPr>
          <w:b/>
          <w:bCs/>
        </w:rPr>
      </w:pPr>
    </w:p>
    <w:tbl>
      <w:tblPr>
        <w:tblStyle w:val="afd"/>
        <w:tblW w:w="0" w:type="auto"/>
        <w:tblLook w:val="04A0" w:firstRow="1" w:lastRow="0" w:firstColumn="1" w:lastColumn="0" w:noHBand="0" w:noVBand="1"/>
      </w:tblPr>
      <w:tblGrid>
        <w:gridCol w:w="9631"/>
      </w:tblGrid>
      <w:tr w:rsidR="00D9495E" w14:paraId="2B68D920" w14:textId="77777777" w:rsidTr="00D9495E">
        <w:tc>
          <w:tcPr>
            <w:tcW w:w="9631" w:type="dxa"/>
          </w:tcPr>
          <w:p w14:paraId="0F0DF2AF" w14:textId="77777777" w:rsidR="00D9495E" w:rsidRPr="00173DEE" w:rsidRDefault="00D9495E" w:rsidP="00D9495E">
            <w:pPr>
              <w:rPr>
                <w:b/>
                <w:u w:val="single"/>
              </w:rPr>
            </w:pPr>
            <w:r w:rsidRPr="00173DEE">
              <w:rPr>
                <w:b/>
                <w:u w:val="single"/>
              </w:rPr>
              <w:t>Issue 1-10: PC 1.5 UE architecture assumption</w:t>
            </w:r>
          </w:p>
          <w:p w14:paraId="2523D5D1" w14:textId="77777777" w:rsidR="00D9495E" w:rsidRPr="00173DEE" w:rsidRDefault="00D9495E" w:rsidP="00D9495E">
            <w:pPr>
              <w:rPr>
                <w:b/>
                <w:bCs/>
                <w:iCs/>
              </w:rPr>
            </w:pPr>
            <w:r w:rsidRPr="00173DEE">
              <w:rPr>
                <w:rFonts w:hint="eastAsia"/>
                <w:b/>
                <w:bCs/>
                <w:iCs/>
              </w:rPr>
              <w:t>A</w:t>
            </w:r>
            <w:r w:rsidRPr="00173DEE">
              <w:rPr>
                <w:b/>
                <w:bCs/>
                <w:iCs/>
              </w:rPr>
              <w:t>greement:</w:t>
            </w:r>
          </w:p>
          <w:p w14:paraId="6ACE7187" w14:textId="77777777" w:rsidR="00D9495E" w:rsidRPr="00173DEE" w:rsidRDefault="00D9495E" w:rsidP="00D9495E">
            <w:pPr>
              <w:pStyle w:val="aff6"/>
              <w:numPr>
                <w:ilvl w:val="0"/>
                <w:numId w:val="25"/>
              </w:numPr>
              <w:spacing w:line="240" w:lineRule="auto"/>
              <w:ind w:firstLineChars="0"/>
              <w:jc w:val="left"/>
            </w:pPr>
            <w:r w:rsidRPr="00173DEE">
              <w:t>PC1.5 for non-handheld NR-NTN UE is primarily considered with 2Tx in Rel-19</w:t>
            </w:r>
          </w:p>
          <w:p w14:paraId="6812919B" w14:textId="04BC7A69" w:rsidR="00D9495E" w:rsidRPr="00173DEE" w:rsidRDefault="00D9495E" w:rsidP="00173DEE">
            <w:pPr>
              <w:pStyle w:val="aff6"/>
              <w:numPr>
                <w:ilvl w:val="1"/>
                <w:numId w:val="25"/>
              </w:numPr>
              <w:spacing w:line="240" w:lineRule="auto"/>
              <w:ind w:firstLineChars="0"/>
              <w:jc w:val="left"/>
            </w:pPr>
            <w:r w:rsidRPr="00173DEE">
              <w:t>PC1.5 with 1Tx is not precluded but with low priority. It can be treated once PC1.5 with 2Tx work is done.</w:t>
            </w:r>
          </w:p>
        </w:tc>
      </w:tr>
    </w:tbl>
    <w:p w14:paraId="413E3157" w14:textId="6A20A390" w:rsidR="002741D0" w:rsidRDefault="002741D0" w:rsidP="0032028C">
      <w:pPr>
        <w:jc w:val="left"/>
      </w:pPr>
    </w:p>
    <w:p w14:paraId="012FBD48" w14:textId="1C85C738" w:rsidR="000F64C7" w:rsidRDefault="001A0F56" w:rsidP="001A0F56">
      <w:pPr>
        <w:jc w:val="left"/>
      </w:pPr>
      <w:r>
        <w:t xml:space="preserve">NTN </w:t>
      </w:r>
      <w:r w:rsidR="00F06050">
        <w:t xml:space="preserve">PC1.5 with 2Tx is the high </w:t>
      </w:r>
      <w:r w:rsidR="00F06050" w:rsidRPr="00F06050">
        <w:t xml:space="preserve">priority </w:t>
      </w:r>
      <w:r w:rsidR="00F06050">
        <w:t>and it should be finished on time in this release.</w:t>
      </w:r>
      <w:r>
        <w:t xml:space="preserve"> Meanwhile, PC1.5 with 1Tx means restricted design requirement for the devices</w:t>
      </w:r>
      <w:r w:rsidR="00874B82">
        <w:t>. More discussions are needed for the PC1.5 with 1Tx UE</w:t>
      </w:r>
      <w:r w:rsidR="00874B82">
        <w:rPr>
          <w:rFonts w:hint="eastAsia"/>
        </w:rPr>
        <w:t>.</w:t>
      </w:r>
      <w:r>
        <w:t xml:space="preserve"> </w:t>
      </w:r>
      <w:r w:rsidR="00F06050">
        <w:t xml:space="preserve"> </w:t>
      </w:r>
      <w:r w:rsidR="00F06050">
        <w:rPr>
          <w:rFonts w:hint="eastAsia"/>
        </w:rPr>
        <w:t>Therefore</w:t>
      </w:r>
      <w:r w:rsidR="00F06050">
        <w:t>, t</w:t>
      </w:r>
      <w:r w:rsidR="000F64C7">
        <w:t xml:space="preserve">o consider the time issue of Rel-19, we can </w:t>
      </w:r>
      <w:r w:rsidR="00F06050">
        <w:t>discuss</w:t>
      </w:r>
      <w:r w:rsidR="000F64C7">
        <w:t xml:space="preserve"> PC1.5 with 1Tx in Rel-20. </w:t>
      </w:r>
    </w:p>
    <w:p w14:paraId="71B99923" w14:textId="77777777" w:rsidR="00D9495E" w:rsidRDefault="00D9495E" w:rsidP="00D9495E">
      <w:pPr>
        <w:jc w:val="left"/>
        <w:rPr>
          <w:b/>
          <w:bCs/>
        </w:rPr>
      </w:pPr>
    </w:p>
    <w:p w14:paraId="7834D005" w14:textId="3D8E0CE2" w:rsidR="00D9495E" w:rsidRPr="003D196C" w:rsidRDefault="00D9495E" w:rsidP="00D9495E">
      <w:pPr>
        <w:rPr>
          <w:b/>
          <w:bCs/>
        </w:rPr>
      </w:pPr>
      <w:r w:rsidRPr="003D196C">
        <w:rPr>
          <w:rFonts w:hint="eastAsia"/>
          <w:b/>
          <w:bCs/>
        </w:rPr>
        <w:t>P</w:t>
      </w:r>
      <w:r w:rsidRPr="003D196C">
        <w:rPr>
          <w:b/>
          <w:bCs/>
        </w:rPr>
        <w:t xml:space="preserve">roposal </w:t>
      </w:r>
      <w:r>
        <w:rPr>
          <w:b/>
          <w:bCs/>
        </w:rPr>
        <w:t>2</w:t>
      </w:r>
      <w:r w:rsidRPr="003D196C">
        <w:rPr>
          <w:b/>
          <w:bCs/>
        </w:rPr>
        <w:t xml:space="preserve">: </w:t>
      </w:r>
      <w:r w:rsidR="000F64C7">
        <w:rPr>
          <w:b/>
          <w:bCs/>
        </w:rPr>
        <w:t xml:space="preserve">Consider and study </w:t>
      </w:r>
      <w:r w:rsidR="000F64C7" w:rsidRPr="000F64C7">
        <w:rPr>
          <w:b/>
          <w:bCs/>
        </w:rPr>
        <w:t>PC1.5 with 1Tx in Rel-20</w:t>
      </w:r>
      <w:r w:rsidR="000F64C7">
        <w:rPr>
          <w:b/>
          <w:bCs/>
        </w:rPr>
        <w:t>.</w:t>
      </w:r>
    </w:p>
    <w:p w14:paraId="7FDC8433" w14:textId="4FDCEA2D" w:rsidR="002741D0" w:rsidRDefault="002741D0" w:rsidP="0032028C">
      <w:pPr>
        <w:jc w:val="left"/>
      </w:pPr>
    </w:p>
    <w:tbl>
      <w:tblPr>
        <w:tblStyle w:val="afd"/>
        <w:tblW w:w="0" w:type="auto"/>
        <w:tblLook w:val="04A0" w:firstRow="1" w:lastRow="0" w:firstColumn="1" w:lastColumn="0" w:noHBand="0" w:noVBand="1"/>
      </w:tblPr>
      <w:tblGrid>
        <w:gridCol w:w="9631"/>
      </w:tblGrid>
      <w:tr w:rsidR="00D9495E" w14:paraId="20DBC0DB" w14:textId="77777777" w:rsidTr="00D9495E">
        <w:tc>
          <w:tcPr>
            <w:tcW w:w="9631" w:type="dxa"/>
          </w:tcPr>
          <w:p w14:paraId="078844ED" w14:textId="77777777" w:rsidR="00D9495E" w:rsidRPr="00517839" w:rsidRDefault="00D9495E" w:rsidP="00D9495E">
            <w:pPr>
              <w:rPr>
                <w:b/>
                <w:u w:val="single"/>
              </w:rPr>
            </w:pPr>
            <w:r w:rsidRPr="00517839">
              <w:rPr>
                <w:b/>
                <w:u w:val="single"/>
              </w:rPr>
              <w:t>Issue 1-12: Power boosting for PC2</w:t>
            </w:r>
          </w:p>
          <w:p w14:paraId="11C8DBEB" w14:textId="77777777" w:rsidR="00D9495E" w:rsidRPr="00D034EC" w:rsidRDefault="00D9495E" w:rsidP="00D9495E">
            <w:pPr>
              <w:rPr>
                <w:b/>
                <w:bCs/>
                <w:iCs/>
              </w:rPr>
            </w:pPr>
            <w:r w:rsidRPr="00D034EC">
              <w:rPr>
                <w:b/>
                <w:bCs/>
                <w:iCs/>
              </w:rPr>
              <w:t>Way forward:</w:t>
            </w:r>
          </w:p>
          <w:p w14:paraId="61A9731A" w14:textId="77777777" w:rsidR="00D9495E" w:rsidRPr="004139A3" w:rsidRDefault="00D9495E" w:rsidP="00D9495E">
            <w:pPr>
              <w:pStyle w:val="aff6"/>
              <w:numPr>
                <w:ilvl w:val="0"/>
                <w:numId w:val="25"/>
              </w:numPr>
              <w:spacing w:line="240" w:lineRule="auto"/>
              <w:ind w:firstLineChars="0"/>
              <w:jc w:val="left"/>
            </w:pPr>
            <w:r w:rsidRPr="00517839">
              <w:t xml:space="preserve">Further discuss evaluate the PC2 NTN power boosting option with low priority if time allows, and not target to </w:t>
            </w:r>
            <w:r w:rsidRPr="004139A3">
              <w:t>define in Rel-19</w:t>
            </w:r>
            <w:r w:rsidRPr="004139A3">
              <w:rPr>
                <w:rFonts w:asciiTheme="minorEastAsia" w:eastAsiaTheme="minorEastAsia" w:hAnsiTheme="minorEastAsia" w:hint="eastAsia"/>
                <w:lang w:eastAsia="zh-CN"/>
              </w:rPr>
              <w:t>.</w:t>
            </w:r>
          </w:p>
          <w:p w14:paraId="3CB19725" w14:textId="77777777" w:rsidR="00D9495E" w:rsidRPr="004139A3" w:rsidRDefault="00D9495E" w:rsidP="00D9495E">
            <w:pPr>
              <w:pStyle w:val="aff6"/>
              <w:numPr>
                <w:ilvl w:val="1"/>
                <w:numId w:val="25"/>
              </w:numPr>
              <w:spacing w:line="240" w:lineRule="auto"/>
              <w:ind w:firstLineChars="0"/>
              <w:jc w:val="left"/>
            </w:pPr>
            <w:r w:rsidRPr="004139A3">
              <w:rPr>
                <w:rFonts w:eastAsiaTheme="minorEastAsia" w:hint="eastAsia"/>
                <w:lang w:eastAsia="zh-CN"/>
              </w:rPr>
              <w:t>F</w:t>
            </w:r>
            <w:r w:rsidRPr="004139A3">
              <w:rPr>
                <w:rFonts w:eastAsiaTheme="minorEastAsia"/>
                <w:lang w:eastAsia="zh-CN"/>
              </w:rPr>
              <w:t>urther discuss following assumptions:</w:t>
            </w:r>
          </w:p>
          <w:p w14:paraId="04003319" w14:textId="77777777" w:rsidR="00D9495E" w:rsidRPr="004139A3" w:rsidRDefault="00D9495E" w:rsidP="00D9495E">
            <w:pPr>
              <w:pStyle w:val="aff6"/>
              <w:numPr>
                <w:ilvl w:val="2"/>
                <w:numId w:val="25"/>
              </w:numPr>
              <w:spacing w:line="240" w:lineRule="auto"/>
              <w:ind w:firstLineChars="0"/>
              <w:jc w:val="left"/>
            </w:pPr>
            <w:r w:rsidRPr="004139A3">
              <w:t>PC2 1Tx PA using existing TN impairment and targeting inner third allocations.</w:t>
            </w:r>
          </w:p>
          <w:p w14:paraId="16B4F298" w14:textId="77777777" w:rsidR="00D9495E" w:rsidRPr="004139A3" w:rsidRDefault="00D9495E" w:rsidP="00D9495E">
            <w:pPr>
              <w:pStyle w:val="aff6"/>
              <w:numPr>
                <w:ilvl w:val="2"/>
                <w:numId w:val="25"/>
              </w:numPr>
              <w:spacing w:line="240" w:lineRule="auto"/>
              <w:ind w:firstLineChars="0"/>
              <w:jc w:val="left"/>
            </w:pPr>
            <w:r w:rsidRPr="004139A3">
              <w:t>Applicable to both TN and NTN.</w:t>
            </w:r>
          </w:p>
          <w:p w14:paraId="36CB60A6" w14:textId="77777777" w:rsidR="00D9495E" w:rsidRPr="004139A3" w:rsidRDefault="00D9495E" w:rsidP="00D9495E">
            <w:pPr>
              <w:pStyle w:val="aff6"/>
              <w:numPr>
                <w:ilvl w:val="2"/>
                <w:numId w:val="25"/>
              </w:numPr>
              <w:spacing w:line="240" w:lineRule="auto"/>
              <w:ind w:firstLineChars="0"/>
              <w:jc w:val="left"/>
            </w:pPr>
            <w:r w:rsidRPr="004139A3">
              <w:t>FFS applicability of such boosting to multi-Tx based on PC2 PAs</w:t>
            </w:r>
          </w:p>
          <w:p w14:paraId="4805C823" w14:textId="77777777" w:rsidR="00D9495E" w:rsidRPr="00D9495E" w:rsidRDefault="00D9495E" w:rsidP="0032028C">
            <w:pPr>
              <w:jc w:val="left"/>
              <w:rPr>
                <w:lang w:val="en-GB"/>
              </w:rPr>
            </w:pPr>
          </w:p>
        </w:tc>
      </w:tr>
    </w:tbl>
    <w:p w14:paraId="6910A08E" w14:textId="3DEC4A1E" w:rsidR="00D9495E" w:rsidRDefault="00D9495E" w:rsidP="0032028C">
      <w:pPr>
        <w:jc w:val="left"/>
      </w:pPr>
    </w:p>
    <w:p w14:paraId="248CE410" w14:textId="5044D969" w:rsidR="00D9495E" w:rsidRPr="00173DEE" w:rsidRDefault="00874B82" w:rsidP="00D9495E">
      <w:pPr>
        <w:jc w:val="left"/>
      </w:pPr>
      <w:r>
        <w:rPr>
          <w:rFonts w:hint="eastAsia"/>
        </w:rPr>
        <w:t>During</w:t>
      </w:r>
      <w:r>
        <w:t xml:space="preserve"> the release 19 HPUE NTN discussion in RAN4, power boosting issue was not fully discussed and studied by </w:t>
      </w:r>
      <w:r w:rsidR="009E50AF">
        <w:t>the meeting</w:t>
      </w:r>
      <w:r>
        <w:t>. RAN4 also considered it as the low priority. Therefore, c</w:t>
      </w:r>
      <w:r w:rsidR="00173DEE">
        <w:t xml:space="preserve">onsidering the time issue of this WI, and the difficulty of implementing. </w:t>
      </w:r>
      <w:r w:rsidR="003C08D8">
        <w:t>These assumptions can be discussed in the Rel-20 NTN topic.</w:t>
      </w:r>
    </w:p>
    <w:p w14:paraId="4C160DCF" w14:textId="77777777" w:rsidR="00D9495E" w:rsidRDefault="00D9495E" w:rsidP="00D9495E">
      <w:pPr>
        <w:jc w:val="left"/>
        <w:rPr>
          <w:b/>
          <w:bCs/>
        </w:rPr>
      </w:pPr>
    </w:p>
    <w:p w14:paraId="051C896E" w14:textId="4CEB5EA7" w:rsidR="00D9495E" w:rsidRPr="003D196C" w:rsidRDefault="00D9495E" w:rsidP="00D9495E">
      <w:pPr>
        <w:rPr>
          <w:b/>
          <w:bCs/>
        </w:rPr>
      </w:pPr>
      <w:r w:rsidRPr="003D196C">
        <w:rPr>
          <w:rFonts w:hint="eastAsia"/>
          <w:b/>
          <w:bCs/>
        </w:rPr>
        <w:t>P</w:t>
      </w:r>
      <w:r w:rsidRPr="003D196C">
        <w:rPr>
          <w:b/>
          <w:bCs/>
        </w:rPr>
        <w:t xml:space="preserve">roposal </w:t>
      </w:r>
      <w:r>
        <w:rPr>
          <w:b/>
          <w:bCs/>
        </w:rPr>
        <w:t>3</w:t>
      </w:r>
      <w:r w:rsidRPr="003D196C">
        <w:rPr>
          <w:b/>
          <w:bCs/>
        </w:rPr>
        <w:t xml:space="preserve">: </w:t>
      </w:r>
      <w:r w:rsidR="003C08D8">
        <w:rPr>
          <w:b/>
          <w:bCs/>
        </w:rPr>
        <w:t xml:space="preserve">Do not discuss the </w:t>
      </w:r>
      <w:r w:rsidR="00537A32">
        <w:rPr>
          <w:b/>
          <w:bCs/>
        </w:rPr>
        <w:t>power boosting for PC2</w:t>
      </w:r>
      <w:r w:rsidR="003C08D8">
        <w:rPr>
          <w:b/>
          <w:bCs/>
        </w:rPr>
        <w:t xml:space="preserve"> during Rel-19</w:t>
      </w:r>
      <w:r w:rsidR="003E7C49">
        <w:rPr>
          <w:b/>
          <w:bCs/>
        </w:rPr>
        <w:t xml:space="preserve"> and move the necessary topics to Rel-20</w:t>
      </w:r>
      <w:r w:rsidR="003C08D8">
        <w:rPr>
          <w:b/>
          <w:bCs/>
        </w:rPr>
        <w:t>.</w:t>
      </w:r>
    </w:p>
    <w:p w14:paraId="6EFA498E" w14:textId="77777777" w:rsidR="00D9495E" w:rsidRPr="002741D0" w:rsidRDefault="00D9495E" w:rsidP="0032028C">
      <w:pPr>
        <w:jc w:val="left"/>
      </w:pPr>
    </w:p>
    <w:p w14:paraId="2FE48129" w14:textId="567D2B01" w:rsidR="004D4AD9" w:rsidRDefault="000F259D" w:rsidP="0071684C">
      <w:pPr>
        <w:pStyle w:val="1"/>
        <w:numPr>
          <w:ilvl w:val="0"/>
          <w:numId w:val="4"/>
        </w:numPr>
        <w:rPr>
          <w:lang w:val="en-GB" w:eastAsia="ja-JP"/>
        </w:rPr>
      </w:pPr>
      <w:r w:rsidRPr="0071684C">
        <w:rPr>
          <w:rFonts w:hint="eastAsia"/>
          <w:lang w:val="en-GB" w:eastAsia="ja-JP"/>
        </w:rPr>
        <w:lastRenderedPageBreak/>
        <w:t>Conclusion</w:t>
      </w:r>
    </w:p>
    <w:p w14:paraId="13DE66ED" w14:textId="77777777" w:rsidR="00537A32" w:rsidRPr="00537A32" w:rsidRDefault="00537A32" w:rsidP="00537A32">
      <w:pPr>
        <w:rPr>
          <w:b/>
          <w:bCs/>
          <w:lang w:val="en-GB"/>
        </w:rPr>
      </w:pPr>
      <w:r w:rsidRPr="00537A32">
        <w:rPr>
          <w:rFonts w:hint="eastAsia"/>
          <w:b/>
          <w:bCs/>
        </w:rPr>
        <w:t>P</w:t>
      </w:r>
      <w:r w:rsidRPr="00537A32">
        <w:rPr>
          <w:b/>
          <w:bCs/>
        </w:rPr>
        <w:t>roposal 1:  Remove the square bracket of ∆TC,c and ∆TRxSRS, and not applicable to Rel-19 NR-NTN UE.</w:t>
      </w:r>
    </w:p>
    <w:p w14:paraId="2B73D83F" w14:textId="77777777" w:rsidR="00537A32" w:rsidRPr="003D196C" w:rsidRDefault="00537A32" w:rsidP="00537A32">
      <w:pPr>
        <w:rPr>
          <w:b/>
          <w:bCs/>
        </w:rPr>
      </w:pPr>
      <w:r w:rsidRPr="003D196C">
        <w:rPr>
          <w:rFonts w:hint="eastAsia"/>
          <w:b/>
          <w:bCs/>
        </w:rPr>
        <w:t>P</w:t>
      </w:r>
      <w:r w:rsidRPr="003D196C">
        <w:rPr>
          <w:b/>
          <w:bCs/>
        </w:rPr>
        <w:t xml:space="preserve">roposal </w:t>
      </w:r>
      <w:r>
        <w:rPr>
          <w:b/>
          <w:bCs/>
        </w:rPr>
        <w:t>2</w:t>
      </w:r>
      <w:r w:rsidRPr="003D196C">
        <w:rPr>
          <w:b/>
          <w:bCs/>
        </w:rPr>
        <w:t xml:space="preserve">: </w:t>
      </w:r>
      <w:r>
        <w:rPr>
          <w:b/>
          <w:bCs/>
        </w:rPr>
        <w:t xml:space="preserve">Consider and study </w:t>
      </w:r>
      <w:r w:rsidRPr="000F64C7">
        <w:rPr>
          <w:b/>
          <w:bCs/>
        </w:rPr>
        <w:t>PC1.5 with 1Tx in Rel-20</w:t>
      </w:r>
      <w:r>
        <w:rPr>
          <w:b/>
          <w:bCs/>
        </w:rPr>
        <w:t>.</w:t>
      </w:r>
    </w:p>
    <w:p w14:paraId="73B5CB82" w14:textId="22E90933" w:rsidR="00E04C41" w:rsidRDefault="00A572EF" w:rsidP="0093496A">
      <w:pPr>
        <w:rPr>
          <w:b/>
          <w:bCs/>
        </w:rPr>
      </w:pPr>
      <w:r w:rsidRPr="0093496A">
        <w:rPr>
          <w:b/>
          <w:bCs/>
        </w:rPr>
        <w:t>Proposal 3</w:t>
      </w:r>
      <w:r w:rsidRPr="0093496A">
        <w:rPr>
          <w:rFonts w:hint="eastAsia"/>
          <w:b/>
          <w:bCs/>
        </w:rPr>
        <w:t>:</w:t>
      </w:r>
      <w:r w:rsidRPr="0093496A">
        <w:rPr>
          <w:b/>
          <w:bCs/>
        </w:rPr>
        <w:t xml:space="preserve"> </w:t>
      </w:r>
      <w:r w:rsidR="00537A32">
        <w:rPr>
          <w:b/>
          <w:bCs/>
        </w:rPr>
        <w:t>Do not discuss the power boosting for PC2 during Rel-19 and move the necessary topics to Rel-20.</w:t>
      </w:r>
    </w:p>
    <w:p w14:paraId="203C9983" w14:textId="4FDA002B" w:rsidR="00D9495E" w:rsidRDefault="00D9495E" w:rsidP="0093496A">
      <w:pPr>
        <w:rPr>
          <w:b/>
          <w:bCs/>
        </w:rPr>
      </w:pPr>
    </w:p>
    <w:p w14:paraId="794559B1" w14:textId="77777777" w:rsidR="00D9495E" w:rsidRPr="0093496A" w:rsidRDefault="00D9495E" w:rsidP="0093496A">
      <w:pPr>
        <w:rPr>
          <w:b/>
          <w:bCs/>
        </w:rPr>
      </w:pP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2DD6CE7B" w14:textId="1C0C78ED" w:rsidR="00D62546" w:rsidRDefault="006E0CAF" w:rsidP="004F652D">
      <w:pPr>
        <w:jc w:val="left"/>
      </w:pPr>
      <w:r>
        <w:t>[</w:t>
      </w:r>
      <w:r w:rsidR="005E1368">
        <w:t>1</w:t>
      </w:r>
      <w:r w:rsidR="003D196C">
        <w:t>]</w:t>
      </w:r>
      <w:r w:rsidR="003D196C" w:rsidRPr="003D196C">
        <w:t xml:space="preserve"> </w:t>
      </w:r>
      <w:r w:rsidR="00537A32" w:rsidRPr="00537A32">
        <w:t>R4-2508008</w:t>
      </w:r>
      <w:r w:rsidR="00537A32">
        <w:t>,</w:t>
      </w:r>
      <w:r w:rsidR="00537A32" w:rsidRPr="00537A32">
        <w:t xml:space="preserve"> WF on [115][128] NR_IoT_NTN_HPUE_part1</w:t>
      </w:r>
      <w:r w:rsidR="00F67874">
        <w:t xml:space="preserve">, Samsung </w:t>
      </w:r>
    </w:p>
    <w:p w14:paraId="2587E59B" w14:textId="484F4E42" w:rsidR="00537A32" w:rsidRPr="00537A32" w:rsidRDefault="00537A32" w:rsidP="004F652D">
      <w:pPr>
        <w:jc w:val="left"/>
      </w:pPr>
      <w:r>
        <w:rPr>
          <w:rFonts w:hint="eastAsia"/>
        </w:rPr>
        <w:t>[</w:t>
      </w:r>
      <w:r>
        <w:t xml:space="preserve">2] </w:t>
      </w:r>
      <w:r w:rsidRPr="00537A32">
        <w:t>R4-2507567</w:t>
      </w:r>
      <w:r>
        <w:t>,</w:t>
      </w:r>
      <w:r w:rsidRPr="00537A32">
        <w:t xml:space="preserve"> Topic summary for [115][128] NR_IoT_NTN_HPUE_part1</w:t>
      </w:r>
      <w:r>
        <w:t>, Samsung</w:t>
      </w:r>
    </w:p>
    <w:sectPr w:rsidR="00537A32" w:rsidRPr="00537A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07F7E" w14:textId="77777777" w:rsidR="006C778B" w:rsidRDefault="006C778B" w:rsidP="00FC2656">
      <w:r>
        <w:separator/>
      </w:r>
    </w:p>
  </w:endnote>
  <w:endnote w:type="continuationSeparator" w:id="0">
    <w:p w14:paraId="792FEA16" w14:textId="77777777" w:rsidR="006C778B" w:rsidRDefault="006C778B"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54E10" w14:textId="77777777" w:rsidR="006C778B" w:rsidRDefault="006C778B" w:rsidP="00FC2656">
      <w:r>
        <w:separator/>
      </w:r>
    </w:p>
  </w:footnote>
  <w:footnote w:type="continuationSeparator" w:id="0">
    <w:p w14:paraId="4ECA652A" w14:textId="77777777" w:rsidR="006C778B" w:rsidRDefault="006C778B"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0C87C41"/>
    <w:multiLevelType w:val="hybridMultilevel"/>
    <w:tmpl w:val="38CC7C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462021B"/>
    <w:multiLevelType w:val="hybridMultilevel"/>
    <w:tmpl w:val="6CE2850A"/>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24935665"/>
    <w:multiLevelType w:val="hybridMultilevel"/>
    <w:tmpl w:val="5B56640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DA22B1"/>
    <w:multiLevelType w:val="hybridMultilevel"/>
    <w:tmpl w:val="1CB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21B5E"/>
    <w:multiLevelType w:val="hybridMultilevel"/>
    <w:tmpl w:val="402E875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BC64C1C"/>
    <w:multiLevelType w:val="hybridMultilevel"/>
    <w:tmpl w:val="2514B8D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DE3636E"/>
    <w:multiLevelType w:val="hybridMultilevel"/>
    <w:tmpl w:val="6C8EEE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1"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17"/>
  </w:num>
  <w:num w:numId="2">
    <w:abstractNumId w:val="28"/>
  </w:num>
  <w:num w:numId="3">
    <w:abstractNumId w:val="0"/>
  </w:num>
  <w:num w:numId="4">
    <w:abstractNumId w:val="23"/>
  </w:num>
  <w:num w:numId="5">
    <w:abstractNumId w:val="30"/>
  </w:num>
  <w:num w:numId="6">
    <w:abstractNumId w:val="11"/>
  </w:num>
  <w:num w:numId="7">
    <w:abstractNumId w:val="31"/>
  </w:num>
  <w:num w:numId="8">
    <w:abstractNumId w:val="16"/>
  </w:num>
  <w:num w:numId="9">
    <w:abstractNumId w:val="12"/>
  </w:num>
  <w:num w:numId="10">
    <w:abstractNumId w:val="14"/>
  </w:num>
  <w:num w:numId="11">
    <w:abstractNumId w:val="9"/>
  </w:num>
  <w:num w:numId="12">
    <w:abstractNumId w:val="32"/>
  </w:num>
  <w:num w:numId="13">
    <w:abstractNumId w:val="21"/>
  </w:num>
  <w:num w:numId="14">
    <w:abstractNumId w:val="27"/>
  </w:num>
  <w:num w:numId="15">
    <w:abstractNumId w:val="26"/>
  </w:num>
  <w:num w:numId="16">
    <w:abstractNumId w:val="6"/>
  </w:num>
  <w:num w:numId="17">
    <w:abstractNumId w:val="4"/>
  </w:num>
  <w:num w:numId="18">
    <w:abstractNumId w:val="5"/>
  </w:num>
  <w:num w:numId="19">
    <w:abstractNumId w:val="24"/>
  </w:num>
  <w:num w:numId="20">
    <w:abstractNumId w:val="26"/>
  </w:num>
  <w:num w:numId="21">
    <w:abstractNumId w:val="20"/>
  </w:num>
  <w:num w:numId="22">
    <w:abstractNumId w:val="10"/>
  </w:num>
  <w:num w:numId="23">
    <w:abstractNumId w:val="13"/>
  </w:num>
  <w:num w:numId="24">
    <w:abstractNumId w:val="26"/>
  </w:num>
  <w:num w:numId="25">
    <w:abstractNumId w:val="2"/>
  </w:num>
  <w:num w:numId="26">
    <w:abstractNumId w:val="29"/>
  </w:num>
  <w:num w:numId="27">
    <w:abstractNumId w:val="1"/>
  </w:num>
  <w:num w:numId="28">
    <w:abstractNumId w:val="0"/>
  </w:num>
  <w:num w:numId="29">
    <w:abstractNumId w:val="8"/>
  </w:num>
  <w:num w:numId="30">
    <w:abstractNumId w:val="19"/>
  </w:num>
  <w:num w:numId="31">
    <w:abstractNumId w:val="18"/>
  </w:num>
  <w:num w:numId="32">
    <w:abstractNumId w:val="3"/>
  </w:num>
  <w:num w:numId="33">
    <w:abstractNumId w:val="15"/>
  </w:num>
  <w:num w:numId="34">
    <w:abstractNumId w:val="7"/>
  </w:num>
  <w:num w:numId="35">
    <w:abstractNumId w:val="22"/>
  </w:num>
  <w:num w:numId="3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A8F"/>
    <w:rsid w:val="00014BD4"/>
    <w:rsid w:val="0001661A"/>
    <w:rsid w:val="00020C56"/>
    <w:rsid w:val="000212C3"/>
    <w:rsid w:val="00024F0D"/>
    <w:rsid w:val="00026ACC"/>
    <w:rsid w:val="00030B9D"/>
    <w:rsid w:val="0003171D"/>
    <w:rsid w:val="00031C1D"/>
    <w:rsid w:val="00032320"/>
    <w:rsid w:val="0003467D"/>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508"/>
    <w:rsid w:val="0007073C"/>
    <w:rsid w:val="0007382E"/>
    <w:rsid w:val="00074700"/>
    <w:rsid w:val="00074DBA"/>
    <w:rsid w:val="00075522"/>
    <w:rsid w:val="00076096"/>
    <w:rsid w:val="000766E1"/>
    <w:rsid w:val="0007788C"/>
    <w:rsid w:val="00077FF6"/>
    <w:rsid w:val="00080567"/>
    <w:rsid w:val="0008099C"/>
    <w:rsid w:val="00080D82"/>
    <w:rsid w:val="00081692"/>
    <w:rsid w:val="00082C46"/>
    <w:rsid w:val="000843E4"/>
    <w:rsid w:val="00085A0E"/>
    <w:rsid w:val="00086BE8"/>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D73CA"/>
    <w:rsid w:val="000E12FE"/>
    <w:rsid w:val="000E2D93"/>
    <w:rsid w:val="000E383B"/>
    <w:rsid w:val="000E3A9E"/>
    <w:rsid w:val="000E3E75"/>
    <w:rsid w:val="000E537B"/>
    <w:rsid w:val="000E57D0"/>
    <w:rsid w:val="000E7858"/>
    <w:rsid w:val="000F1688"/>
    <w:rsid w:val="000F259D"/>
    <w:rsid w:val="000F2D77"/>
    <w:rsid w:val="000F3305"/>
    <w:rsid w:val="000F39CA"/>
    <w:rsid w:val="000F3CA5"/>
    <w:rsid w:val="000F64C7"/>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3DEE"/>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681"/>
    <w:rsid w:val="00194CAC"/>
    <w:rsid w:val="00195077"/>
    <w:rsid w:val="00195939"/>
    <w:rsid w:val="00195BE8"/>
    <w:rsid w:val="001A033F"/>
    <w:rsid w:val="001A08AA"/>
    <w:rsid w:val="001A0F56"/>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1951"/>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1D0"/>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18FB"/>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54C0"/>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AE7"/>
    <w:rsid w:val="00300CB9"/>
    <w:rsid w:val="003015F1"/>
    <w:rsid w:val="003022A5"/>
    <w:rsid w:val="00302332"/>
    <w:rsid w:val="00302BB0"/>
    <w:rsid w:val="00303EEB"/>
    <w:rsid w:val="003062EF"/>
    <w:rsid w:val="00307E51"/>
    <w:rsid w:val="003100C2"/>
    <w:rsid w:val="00311363"/>
    <w:rsid w:val="0031472F"/>
    <w:rsid w:val="00315867"/>
    <w:rsid w:val="00317D8E"/>
    <w:rsid w:val="0032028C"/>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136"/>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0FF9"/>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3B5"/>
    <w:rsid w:val="003B755E"/>
    <w:rsid w:val="003C0346"/>
    <w:rsid w:val="003C08D8"/>
    <w:rsid w:val="003C0ABE"/>
    <w:rsid w:val="003C11BF"/>
    <w:rsid w:val="003C16DD"/>
    <w:rsid w:val="003C1710"/>
    <w:rsid w:val="003C228E"/>
    <w:rsid w:val="003C30C7"/>
    <w:rsid w:val="003C42D7"/>
    <w:rsid w:val="003C51E7"/>
    <w:rsid w:val="003C6893"/>
    <w:rsid w:val="003C69D4"/>
    <w:rsid w:val="003C6DE2"/>
    <w:rsid w:val="003D196C"/>
    <w:rsid w:val="003D1A9A"/>
    <w:rsid w:val="003D1EFD"/>
    <w:rsid w:val="003D2079"/>
    <w:rsid w:val="003D28BF"/>
    <w:rsid w:val="003D3A65"/>
    <w:rsid w:val="003D4215"/>
    <w:rsid w:val="003D4C47"/>
    <w:rsid w:val="003D7719"/>
    <w:rsid w:val="003E1935"/>
    <w:rsid w:val="003E40EE"/>
    <w:rsid w:val="003E7AE1"/>
    <w:rsid w:val="003E7C49"/>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9A3"/>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11B"/>
    <w:rsid w:val="004A37AC"/>
    <w:rsid w:val="004A495F"/>
    <w:rsid w:val="004A7544"/>
    <w:rsid w:val="004B04C2"/>
    <w:rsid w:val="004B6B0F"/>
    <w:rsid w:val="004C069C"/>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86"/>
    <w:rsid w:val="004E56E0"/>
    <w:rsid w:val="004E6041"/>
    <w:rsid w:val="004E6900"/>
    <w:rsid w:val="004E7329"/>
    <w:rsid w:val="004E7E8D"/>
    <w:rsid w:val="004F0539"/>
    <w:rsid w:val="004F0E85"/>
    <w:rsid w:val="004F1C31"/>
    <w:rsid w:val="004F27D7"/>
    <w:rsid w:val="004F29FE"/>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37A32"/>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2F6B"/>
    <w:rsid w:val="005647B5"/>
    <w:rsid w:val="00570126"/>
    <w:rsid w:val="005701DF"/>
    <w:rsid w:val="00571777"/>
    <w:rsid w:val="00574039"/>
    <w:rsid w:val="00580FF5"/>
    <w:rsid w:val="005819E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256A"/>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AF5"/>
    <w:rsid w:val="00674FAE"/>
    <w:rsid w:val="006808C6"/>
    <w:rsid w:val="00681CF0"/>
    <w:rsid w:val="00682668"/>
    <w:rsid w:val="006839E7"/>
    <w:rsid w:val="006872EF"/>
    <w:rsid w:val="00692A68"/>
    <w:rsid w:val="0069497E"/>
    <w:rsid w:val="00695D85"/>
    <w:rsid w:val="00697283"/>
    <w:rsid w:val="00697A5C"/>
    <w:rsid w:val="00697EAA"/>
    <w:rsid w:val="006A1C88"/>
    <w:rsid w:val="006A22E5"/>
    <w:rsid w:val="006A30A2"/>
    <w:rsid w:val="006A32BA"/>
    <w:rsid w:val="006A365E"/>
    <w:rsid w:val="006A6D23"/>
    <w:rsid w:val="006A7B3E"/>
    <w:rsid w:val="006B25DE"/>
    <w:rsid w:val="006B277A"/>
    <w:rsid w:val="006B2D2C"/>
    <w:rsid w:val="006B4402"/>
    <w:rsid w:val="006B4F9D"/>
    <w:rsid w:val="006B717E"/>
    <w:rsid w:val="006B72C7"/>
    <w:rsid w:val="006B760B"/>
    <w:rsid w:val="006B7764"/>
    <w:rsid w:val="006C1C3B"/>
    <w:rsid w:val="006C2861"/>
    <w:rsid w:val="006C297E"/>
    <w:rsid w:val="006C4E43"/>
    <w:rsid w:val="006C58E5"/>
    <w:rsid w:val="006C63CD"/>
    <w:rsid w:val="006C643E"/>
    <w:rsid w:val="006C778B"/>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4C"/>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56012"/>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563E"/>
    <w:rsid w:val="007D75E5"/>
    <w:rsid w:val="007D773E"/>
    <w:rsid w:val="007E013A"/>
    <w:rsid w:val="007E066E"/>
    <w:rsid w:val="007E1356"/>
    <w:rsid w:val="007E20FC"/>
    <w:rsid w:val="007E7062"/>
    <w:rsid w:val="007F0E1E"/>
    <w:rsid w:val="007F1B6F"/>
    <w:rsid w:val="007F29A7"/>
    <w:rsid w:val="007F2D68"/>
    <w:rsid w:val="008004B4"/>
    <w:rsid w:val="00800849"/>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B82"/>
    <w:rsid w:val="00874C16"/>
    <w:rsid w:val="00877FE5"/>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930"/>
    <w:rsid w:val="008C7F1C"/>
    <w:rsid w:val="008D05FB"/>
    <w:rsid w:val="008D1145"/>
    <w:rsid w:val="008D1B7C"/>
    <w:rsid w:val="008D30BE"/>
    <w:rsid w:val="008D5427"/>
    <w:rsid w:val="008D6657"/>
    <w:rsid w:val="008D69B1"/>
    <w:rsid w:val="008D702F"/>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173"/>
    <w:rsid w:val="0090786B"/>
    <w:rsid w:val="009100B5"/>
    <w:rsid w:val="009101E2"/>
    <w:rsid w:val="009104FC"/>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496A"/>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BDF"/>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4186"/>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0AF"/>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572EF"/>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A7CCA"/>
    <w:rsid w:val="00AB0C57"/>
    <w:rsid w:val="00AB1195"/>
    <w:rsid w:val="00AB3E92"/>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A9"/>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2F89"/>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21C5"/>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205"/>
    <w:rsid w:val="00C74998"/>
    <w:rsid w:val="00C754E0"/>
    <w:rsid w:val="00C7716E"/>
    <w:rsid w:val="00C77258"/>
    <w:rsid w:val="00C77261"/>
    <w:rsid w:val="00C77D6C"/>
    <w:rsid w:val="00C77DD9"/>
    <w:rsid w:val="00C80E16"/>
    <w:rsid w:val="00C83BE6"/>
    <w:rsid w:val="00C85354"/>
    <w:rsid w:val="00C86273"/>
    <w:rsid w:val="00C86ABA"/>
    <w:rsid w:val="00C90B76"/>
    <w:rsid w:val="00C919A9"/>
    <w:rsid w:val="00C943F3"/>
    <w:rsid w:val="00C9493A"/>
    <w:rsid w:val="00C95E0C"/>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3EE8"/>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495E"/>
    <w:rsid w:val="00D96293"/>
    <w:rsid w:val="00D97F0C"/>
    <w:rsid w:val="00DA030B"/>
    <w:rsid w:val="00DA1DCC"/>
    <w:rsid w:val="00DA3A86"/>
    <w:rsid w:val="00DA4870"/>
    <w:rsid w:val="00DA76EB"/>
    <w:rsid w:val="00DA7FEF"/>
    <w:rsid w:val="00DB02EF"/>
    <w:rsid w:val="00DB054E"/>
    <w:rsid w:val="00DB5F05"/>
    <w:rsid w:val="00DB7412"/>
    <w:rsid w:val="00DB7C7B"/>
    <w:rsid w:val="00DC00DC"/>
    <w:rsid w:val="00DC1AE1"/>
    <w:rsid w:val="00DC2500"/>
    <w:rsid w:val="00DC275D"/>
    <w:rsid w:val="00DC371A"/>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4C41"/>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2CA2"/>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6050"/>
    <w:rsid w:val="00F07167"/>
    <w:rsid w:val="00F072D8"/>
    <w:rsid w:val="00F07CE0"/>
    <w:rsid w:val="00F10B9A"/>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1E54"/>
    <w:rsid w:val="00F53053"/>
    <w:rsid w:val="00F53FE2"/>
    <w:rsid w:val="00F575FF"/>
    <w:rsid w:val="00F60550"/>
    <w:rsid w:val="00F618EF"/>
    <w:rsid w:val="00F61DDD"/>
    <w:rsid w:val="00F65084"/>
    <w:rsid w:val="00F65582"/>
    <w:rsid w:val="00F66E75"/>
    <w:rsid w:val="00F67735"/>
    <w:rsid w:val="00F67874"/>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B7E37"/>
    <w:rsid w:val="00FC051F"/>
    <w:rsid w:val="00FC0596"/>
    <w:rsid w:val="00FC06FF"/>
    <w:rsid w:val="00FC082E"/>
    <w:rsid w:val="00FC2656"/>
    <w:rsid w:val="00FC3EE6"/>
    <w:rsid w:val="00FC3F96"/>
    <w:rsid w:val="00FC69B4"/>
    <w:rsid w:val="00FC6A3A"/>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11B"/>
    <w:pPr>
      <w:widowControl w:val="0"/>
      <w:spacing w:after="0" w:line="240" w:lineRule="auto"/>
    </w:pPr>
    <w:rPr>
      <w:rFonts w:asciiTheme="minorHAnsi" w:eastAsiaTheme="minorEastAsia" w:hAnsiTheme="minorHAnsi" w:cstheme="minorBidi"/>
      <w:kern w:val="2"/>
      <w:sz w:val="21"/>
      <w:szCs w:val="22"/>
      <w:lang w:eastAsia="zh-CN"/>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widowControl/>
      <w:spacing w:after="180" w:line="259" w:lineRule="auto"/>
      <w:ind w:left="568" w:hanging="284"/>
    </w:pPr>
    <w:rPr>
      <w:rFonts w:ascii="Times New Roman" w:eastAsia="宋体" w:hAnsi="Times New Roman" w:cs="Times New Roman"/>
      <w:kern w:val="0"/>
      <w:sz w:val="20"/>
      <w:szCs w:val="20"/>
      <w:lang w:val="en-GB" w:eastAsia="en-US"/>
    </w:r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widowControl/>
      <w:spacing w:before="120" w:after="120" w:line="259" w:lineRule="auto"/>
    </w:pPr>
    <w:rPr>
      <w:rFonts w:ascii="Times New Roman" w:eastAsia="宋体" w:hAnsi="Times New Roman" w:cs="Times New Roman"/>
      <w:b/>
      <w:kern w:val="0"/>
      <w:sz w:val="20"/>
      <w:szCs w:val="20"/>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pPr>
      <w:widowControl/>
      <w:spacing w:after="180" w:line="259" w:lineRule="auto"/>
    </w:pPr>
    <w:rPr>
      <w:rFonts w:ascii="Times New Roman" w:eastAsia="宋体" w:hAnsi="Times New Roman" w:cs="Times New Roman"/>
      <w:kern w:val="0"/>
      <w:sz w:val="20"/>
      <w:szCs w:val="20"/>
      <w:lang w:val="en-GB" w:eastAsia="en-US"/>
    </w:rPr>
  </w:style>
  <w:style w:type="paragraph" w:styleId="ab">
    <w:name w:val="Body Text"/>
    <w:basedOn w:val="a"/>
    <w:link w:val="ac"/>
    <w:qFormat/>
    <w:pPr>
      <w:widowControl/>
      <w:spacing w:after="180" w:line="259" w:lineRule="auto"/>
    </w:pPr>
    <w:rPr>
      <w:rFonts w:ascii="Times New Roman" w:eastAsia="宋体" w:hAnsi="Times New Roman" w:cs="Times New Roman"/>
      <w:kern w:val="0"/>
      <w:sz w:val="20"/>
      <w:szCs w:val="20"/>
      <w:lang w:val="en-GB" w:eastAsia="en-US"/>
    </w:rPr>
  </w:style>
  <w:style w:type="paragraph" w:styleId="ad">
    <w:name w:val="Plain Text"/>
    <w:basedOn w:val="a"/>
    <w:link w:val="ae"/>
    <w:uiPriority w:val="99"/>
    <w:qFormat/>
    <w:pPr>
      <w:widowControl/>
      <w:spacing w:after="180" w:line="259" w:lineRule="auto"/>
    </w:pPr>
    <w:rPr>
      <w:rFonts w:ascii="Courier New" w:eastAsia="宋体" w:hAnsi="Courier New" w:cs="Times New Roman"/>
      <w:kern w:val="0"/>
      <w:sz w:val="20"/>
      <w:szCs w:val="20"/>
      <w:lang w:val="nb-NO" w:eastAsia="en-US"/>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widowControl/>
      <w:overflowPunct w:val="0"/>
      <w:autoSpaceDE w:val="0"/>
      <w:autoSpaceDN w:val="0"/>
      <w:adjustRightInd w:val="0"/>
      <w:spacing w:after="180" w:line="259" w:lineRule="auto"/>
      <w:ind w:left="284"/>
      <w:textAlignment w:val="baseline"/>
    </w:pPr>
    <w:rPr>
      <w:rFonts w:ascii="Arial" w:eastAsia="Yu Mincho" w:hAnsi="Arial" w:cs="Times New Roman"/>
      <w:kern w:val="0"/>
      <w:sz w:val="22"/>
      <w:szCs w:val="20"/>
      <w:lang w:val="en-GB" w:eastAsia="en-US"/>
    </w:rPr>
  </w:style>
  <w:style w:type="paragraph" w:styleId="af">
    <w:name w:val="endnote text"/>
    <w:basedOn w:val="a"/>
    <w:link w:val="af0"/>
    <w:qFormat/>
    <w:pPr>
      <w:widowControl/>
      <w:overflowPunct w:val="0"/>
      <w:autoSpaceDE w:val="0"/>
      <w:autoSpaceDN w:val="0"/>
      <w:adjustRightInd w:val="0"/>
      <w:spacing w:after="180" w:line="259" w:lineRule="auto"/>
      <w:textAlignment w:val="baseline"/>
    </w:pPr>
    <w:rPr>
      <w:rFonts w:ascii="Times New Roman" w:eastAsia="Yu Mincho" w:hAnsi="Times New Roman" w:cs="Times New Roman"/>
      <w:kern w:val="0"/>
      <w:sz w:val="20"/>
      <w:szCs w:val="20"/>
      <w:lang w:val="en-GB" w:eastAsia="en-US"/>
    </w:rPr>
  </w:style>
  <w:style w:type="paragraph" w:styleId="af1">
    <w:name w:val="Balloon Text"/>
    <w:basedOn w:val="a"/>
    <w:link w:val="af2"/>
    <w:qFormat/>
    <w:pPr>
      <w:widowControl/>
      <w:spacing w:line="259" w:lineRule="auto"/>
    </w:pPr>
    <w:rPr>
      <w:rFonts w:ascii="Times New Roman" w:eastAsia="宋体" w:hAnsi="Times New Roman" w:cs="Times New Roman"/>
      <w:kern w:val="0"/>
      <w:sz w:val="18"/>
      <w:szCs w:val="18"/>
      <w:lang w:val="en-GB" w:eastAsia="en-US"/>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widowControl/>
      <w:spacing w:line="259" w:lineRule="auto"/>
      <w:ind w:left="454" w:hanging="454"/>
    </w:pPr>
    <w:rPr>
      <w:rFonts w:ascii="Times New Roman" w:eastAsia="宋体" w:hAnsi="Times New Roman" w:cs="Times New Roman"/>
      <w:kern w:val="0"/>
      <w:sz w:val="16"/>
      <w:szCs w:val="20"/>
      <w:lang w:val="en-GB" w:eastAsia="en-US"/>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widowControl/>
      <w:spacing w:before="100" w:beforeAutospacing="1" w:after="100" w:afterAutospacing="1" w:line="259" w:lineRule="auto"/>
    </w:pPr>
    <w:rPr>
      <w:rFonts w:ascii="Times New Roman" w:eastAsia="Arial Unicode MS" w:hAnsi="Times New Roman" w:cs="Times New Roman"/>
      <w:kern w:val="0"/>
      <w:sz w:val="24"/>
      <w:szCs w:val="24"/>
      <w:lang w:val="en-GB" w:eastAsia="en-US"/>
    </w:rPr>
  </w:style>
  <w:style w:type="paragraph" w:styleId="11">
    <w:name w:val="index 1"/>
    <w:basedOn w:val="a"/>
    <w:next w:val="a"/>
    <w:semiHidden/>
    <w:qFormat/>
    <w:pPr>
      <w:keepLines/>
      <w:widowControl/>
      <w:spacing w:line="259" w:lineRule="auto"/>
    </w:pPr>
    <w:rPr>
      <w:rFonts w:ascii="Times New Roman" w:eastAsia="宋体" w:hAnsi="Times New Roman" w:cs="Times New Roman"/>
      <w:kern w:val="0"/>
      <w:sz w:val="20"/>
      <w:szCs w:val="20"/>
      <w:lang w:val="en-GB" w:eastAsia="en-US"/>
    </w:r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widowControl/>
      <w:tabs>
        <w:tab w:val="center" w:pos="4536"/>
        <w:tab w:val="right" w:pos="9072"/>
      </w:tabs>
      <w:spacing w:after="180" w:line="259" w:lineRule="auto"/>
    </w:pPr>
    <w:rPr>
      <w:rFonts w:ascii="Times New Roman" w:eastAsia="宋体" w:hAnsi="Times New Roman" w:cs="Times New Roman"/>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widowControl/>
      <w:spacing w:after="180" w:line="259" w:lineRule="auto"/>
      <w:ind w:left="1135" w:hanging="851"/>
    </w:pPr>
    <w:rPr>
      <w:rFonts w:ascii="Times New Roman" w:eastAsia="宋体" w:hAnsi="Times New Roman" w:cs="Times New Roman"/>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widowControl/>
      <w:spacing w:line="259" w:lineRule="auto"/>
    </w:pPr>
    <w:rPr>
      <w:rFonts w:ascii="Arial" w:eastAsia="宋体" w:hAnsi="Arial" w:cs="Times New Roman"/>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widowControl/>
      <w:spacing w:after="180" w:line="259" w:lineRule="auto"/>
      <w:ind w:left="1702" w:hanging="1418"/>
    </w:pPr>
    <w:rPr>
      <w:rFonts w:ascii="Times New Roman" w:eastAsia="宋体" w:hAnsi="Times New Roman" w:cs="Times New Roman"/>
      <w:kern w:val="0"/>
      <w:sz w:val="20"/>
      <w:szCs w:val="20"/>
      <w:lang w:val="en-GB" w:eastAsia="en-US"/>
    </w:rPr>
  </w:style>
  <w:style w:type="paragraph" w:customStyle="1" w:styleId="FP">
    <w:name w:val="FP"/>
    <w:basedOn w:val="a"/>
    <w:qFormat/>
    <w:pPr>
      <w:widowControl/>
      <w:spacing w:line="259" w:lineRule="auto"/>
    </w:pPr>
    <w:rPr>
      <w:rFonts w:ascii="Times New Roman" w:eastAsia="宋体" w:hAnsi="Times New Roman" w:cs="Times New Roman"/>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uiPriority w:val="99"/>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widowControl/>
      <w:spacing w:before="60" w:after="180" w:line="259" w:lineRule="auto"/>
      <w:jc w:val="center"/>
    </w:pPr>
    <w:rPr>
      <w:rFonts w:ascii="Arial" w:eastAsia="宋体" w:hAnsi="Arial" w:cs="Times New Roman"/>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widowControl/>
      <w:spacing w:after="180" w:line="259" w:lineRule="auto"/>
      <w:ind w:left="851"/>
    </w:pPr>
    <w:rPr>
      <w:rFonts w:ascii="Times New Roman" w:eastAsia="宋体" w:hAnsi="Times New Roman" w:cs="Times New Roman"/>
      <w:kern w:val="0"/>
      <w:sz w:val="20"/>
      <w:szCs w:val="20"/>
      <w:lang w:val="en-GB" w:eastAsia="en-US"/>
    </w:rPr>
  </w:style>
  <w:style w:type="paragraph" w:customStyle="1" w:styleId="INDENT2">
    <w:name w:val="INDENT2"/>
    <w:basedOn w:val="a"/>
    <w:pPr>
      <w:widowControl/>
      <w:spacing w:after="180" w:line="259" w:lineRule="auto"/>
      <w:ind w:left="1135" w:hanging="284"/>
    </w:pPr>
    <w:rPr>
      <w:rFonts w:ascii="Times New Roman" w:eastAsia="宋体" w:hAnsi="Times New Roman" w:cs="Times New Roman"/>
      <w:kern w:val="0"/>
      <w:sz w:val="20"/>
      <w:szCs w:val="20"/>
      <w:lang w:val="en-GB" w:eastAsia="en-US"/>
    </w:rPr>
  </w:style>
  <w:style w:type="paragraph" w:customStyle="1" w:styleId="INDENT3">
    <w:name w:val="INDENT3"/>
    <w:basedOn w:val="a"/>
    <w:pPr>
      <w:widowControl/>
      <w:spacing w:after="180" w:line="259" w:lineRule="auto"/>
      <w:ind w:left="1701" w:hanging="567"/>
    </w:pPr>
    <w:rPr>
      <w:rFonts w:ascii="Times New Roman" w:eastAsia="宋体" w:hAnsi="Times New Roman" w:cs="Times New Roman"/>
      <w:kern w:val="0"/>
      <w:sz w:val="20"/>
      <w:szCs w:val="20"/>
      <w:lang w:val="en-GB" w:eastAsia="en-US"/>
    </w:rPr>
  </w:style>
  <w:style w:type="paragraph" w:customStyle="1" w:styleId="FigureTitle">
    <w:name w:val="Figure_Title"/>
    <w:basedOn w:val="a"/>
    <w:next w:val="a"/>
    <w:qFormat/>
    <w:pPr>
      <w:keepLines/>
      <w:widowControl/>
      <w:tabs>
        <w:tab w:val="left" w:pos="794"/>
        <w:tab w:val="left" w:pos="1191"/>
        <w:tab w:val="left" w:pos="1588"/>
        <w:tab w:val="left" w:pos="1985"/>
      </w:tabs>
      <w:spacing w:before="120" w:after="480" w:line="259" w:lineRule="auto"/>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
    <w:qFormat/>
    <w:pPr>
      <w:keepNext/>
      <w:keepLines/>
      <w:widowControl/>
      <w:spacing w:after="180" w:line="259" w:lineRule="auto"/>
    </w:pPr>
    <w:rPr>
      <w:rFonts w:ascii="Times New Roman" w:eastAsia="宋体" w:hAnsi="Times New Roman" w:cs="Times New Roman"/>
      <w:b/>
      <w:kern w:val="0"/>
      <w:sz w:val="20"/>
      <w:szCs w:val="20"/>
      <w:lang w:val="en-GB" w:eastAsia="en-US"/>
    </w:rPr>
  </w:style>
  <w:style w:type="paragraph" w:customStyle="1" w:styleId="enumlev2">
    <w:name w:val="enumlev2"/>
    <w:basedOn w:val="a"/>
    <w:qFormat/>
    <w:pPr>
      <w:widowControl/>
      <w:tabs>
        <w:tab w:val="left" w:pos="794"/>
        <w:tab w:val="left" w:pos="1191"/>
        <w:tab w:val="left" w:pos="1588"/>
        <w:tab w:val="left" w:pos="1985"/>
      </w:tabs>
      <w:spacing w:before="86" w:after="180" w:line="259" w:lineRule="auto"/>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
    <w:pPr>
      <w:keepNext/>
      <w:keepLines/>
      <w:widowControl/>
      <w:spacing w:before="240" w:after="180" w:line="259" w:lineRule="auto"/>
      <w:ind w:left="1418"/>
    </w:pPr>
    <w:rPr>
      <w:rFonts w:ascii="Arial" w:eastAsia="宋体" w:hAnsi="Arial" w:cs="Times New Roman"/>
      <w:b/>
      <w:kern w:val="0"/>
      <w:sz w:val="36"/>
      <w:szCs w:val="20"/>
      <w:lang w:eastAsia="en-US"/>
    </w:rPr>
  </w:style>
  <w:style w:type="paragraph" w:customStyle="1" w:styleId="TAJ">
    <w:name w:val="TAJ"/>
    <w:basedOn w:val="TH"/>
  </w:style>
  <w:style w:type="paragraph" w:customStyle="1" w:styleId="Guidance">
    <w:name w:val="Guidance"/>
    <w:basedOn w:val="a"/>
    <w:link w:val="GuidanceChar"/>
    <w:qFormat/>
    <w:pPr>
      <w:widowControl/>
      <w:spacing w:after="180" w:line="259" w:lineRule="auto"/>
    </w:pPr>
    <w:rPr>
      <w:rFonts w:ascii="Times New Roman" w:eastAsia="宋体" w:hAnsi="Times New Roman" w:cs="Times New Roman"/>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widowControl/>
      <w:overflowPunct w:val="0"/>
      <w:autoSpaceDE w:val="0"/>
      <w:autoSpaceDN w:val="0"/>
      <w:adjustRightInd w:val="0"/>
      <w:spacing w:before="120" w:after="180" w:line="259" w:lineRule="auto"/>
      <w:ind w:left="1134" w:hanging="1134"/>
      <w:textAlignment w:val="baseline"/>
      <w:outlineLvl w:val="2"/>
    </w:pPr>
    <w:rPr>
      <w:rFonts w:ascii="Arial" w:eastAsia="宋体" w:hAnsi="Arial" w:cs="Times New Roman"/>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overflowPunct w:val="0"/>
      <w:autoSpaceDE w:val="0"/>
      <w:autoSpaceDN w:val="0"/>
      <w:adjustRightInd w:val="0"/>
      <w:spacing w:after="120" w:line="240" w:lineRule="atLeast"/>
      <w:ind w:left="1260" w:hanging="551"/>
      <w:textAlignment w:val="baseline"/>
    </w:pPr>
    <w:rPr>
      <w:rFonts w:ascii="Arial" w:eastAsia="Yu Mincho" w:hAnsi="Arial" w:cs="Times New Roman"/>
      <w:b/>
      <w:kern w:val="0"/>
      <w:sz w:val="22"/>
      <w:szCs w:val="20"/>
      <w:lang w:val="en-GB" w:eastAsia="en-US"/>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widowControl/>
      <w:overflowPunct w:val="0"/>
      <w:autoSpaceDE w:val="0"/>
      <w:autoSpaceDN w:val="0"/>
      <w:adjustRightInd w:val="0"/>
      <w:spacing w:after="180" w:line="259" w:lineRule="auto"/>
      <w:textAlignment w:val="baseline"/>
    </w:pPr>
    <w:rPr>
      <w:rFonts w:ascii="Arial" w:eastAsia="Yu Mincho" w:hAnsi="Arial" w:cs="Times New Roman"/>
      <w:b/>
      <w:kern w:val="0"/>
      <w:sz w:val="20"/>
      <w:szCs w:val="20"/>
      <w:lang w:val="en-GB" w:eastAsia="en-US"/>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paragraph" w:customStyle="1" w:styleId="tal0">
    <w:name w:val="tal"/>
    <w:basedOn w:val="a"/>
    <w:qFormat/>
    <w:pPr>
      <w:widowControl/>
      <w:spacing w:before="100" w:beforeAutospacing="1" w:after="100" w:afterAutospacing="1" w:line="259" w:lineRule="auto"/>
    </w:pPr>
    <w:rPr>
      <w:rFonts w:ascii="Times New Roman" w:eastAsia="Calibri" w:hAnsi="Times New Roman" w:cs="Times New Roman"/>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widowControl/>
      <w:overflowPunct w:val="0"/>
      <w:autoSpaceDE w:val="0"/>
      <w:autoSpaceDN w:val="0"/>
      <w:adjustRightInd w:val="0"/>
      <w:spacing w:after="180" w:line="259" w:lineRule="auto"/>
      <w:ind w:firstLineChars="200" w:firstLine="420"/>
      <w:textAlignment w:val="baseline"/>
    </w:pPr>
    <w:rPr>
      <w:rFonts w:ascii="Times New Roman" w:eastAsia="MS Mincho" w:hAnsi="Times New Roman" w:cs="Times New Roman"/>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numPr>
        <w:numId w:val="2"/>
      </w:numPr>
      <w:overflowPunct w:val="0"/>
      <w:autoSpaceDE w:val="0"/>
      <w:autoSpaceDN w:val="0"/>
      <w:adjustRightInd w:val="0"/>
      <w:spacing w:before="120" w:after="120"/>
      <w:textAlignment w:val="baseline"/>
    </w:pPr>
    <w:rPr>
      <w:rFonts w:ascii="Arial" w:eastAsia="Malgun Gothic" w:hAnsi="Arial" w:cs="Times New Roman"/>
      <w:b/>
      <w:color w:val="0000FF"/>
      <w:kern w:val="0"/>
      <w:sz w:val="20"/>
      <w:szCs w:val="20"/>
      <w:u w:val="single"/>
      <w:lang w:val="en-GB" w:eastAsia="en-US"/>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widowControl/>
      <w:overflowPunct w:val="0"/>
      <w:autoSpaceDE w:val="0"/>
      <w:autoSpaceDN w:val="0"/>
      <w:spacing w:after="180"/>
      <w:ind w:firstLine="420"/>
      <w:jc w:val="left"/>
    </w:pPr>
    <w:rPr>
      <w:rFonts w:ascii="Times New Roman" w:eastAsia="宋体" w:hAnsi="Times New Roman" w:cs="Times New Roman"/>
      <w:kern w:val="0"/>
      <w:sz w:val="20"/>
      <w:szCs w:val="20"/>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table" w:styleId="aff9">
    <w:name w:val="Grid Table Light"/>
    <w:basedOn w:val="a1"/>
    <w:uiPriority w:val="40"/>
    <w:rsid w:val="00074D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878762">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88587568">
      <w:bodyDiv w:val="1"/>
      <w:marLeft w:val="0"/>
      <w:marRight w:val="0"/>
      <w:marTop w:val="0"/>
      <w:marBottom w:val="0"/>
      <w:divBdr>
        <w:top w:val="none" w:sz="0" w:space="0" w:color="auto"/>
        <w:left w:val="none" w:sz="0" w:space="0" w:color="auto"/>
        <w:bottom w:val="none" w:sz="0" w:space="0" w:color="auto"/>
        <w:right w:val="none" w:sz="0" w:space="0" w:color="auto"/>
      </w:divBdr>
      <w:divsChild>
        <w:div w:id="340740085">
          <w:marLeft w:val="0"/>
          <w:marRight w:val="0"/>
          <w:marTop w:val="0"/>
          <w:marBottom w:val="240"/>
          <w:divBdr>
            <w:top w:val="none" w:sz="0" w:space="0" w:color="auto"/>
            <w:left w:val="none" w:sz="0" w:space="0" w:color="auto"/>
            <w:bottom w:val="none" w:sz="0" w:space="0" w:color="auto"/>
            <w:right w:val="none" w:sz="0" w:space="0" w:color="auto"/>
          </w:divBdr>
        </w:div>
        <w:div w:id="286159104">
          <w:marLeft w:val="0"/>
          <w:marRight w:val="0"/>
          <w:marTop w:val="0"/>
          <w:marBottom w:val="240"/>
          <w:divBdr>
            <w:top w:val="none" w:sz="0" w:space="0" w:color="auto"/>
            <w:left w:val="none" w:sz="0" w:space="0" w:color="auto"/>
            <w:bottom w:val="none" w:sz="0" w:space="0" w:color="auto"/>
            <w:right w:val="none" w:sz="0" w:space="0" w:color="auto"/>
          </w:divBdr>
        </w:div>
        <w:div w:id="381827300">
          <w:marLeft w:val="0"/>
          <w:marRight w:val="0"/>
          <w:marTop w:val="0"/>
          <w:marBottom w:val="0"/>
          <w:divBdr>
            <w:top w:val="none" w:sz="0" w:space="0" w:color="auto"/>
            <w:left w:val="none" w:sz="0" w:space="0" w:color="auto"/>
            <w:bottom w:val="none" w:sz="0" w:space="0" w:color="auto"/>
            <w:right w:val="none" w:sz="0" w:space="0" w:color="auto"/>
          </w:divBdr>
        </w:div>
        <w:div w:id="547378723">
          <w:marLeft w:val="0"/>
          <w:marRight w:val="0"/>
          <w:marTop w:val="0"/>
          <w:marBottom w:val="0"/>
          <w:divBdr>
            <w:top w:val="none" w:sz="0" w:space="0" w:color="auto"/>
            <w:left w:val="none" w:sz="0" w:space="0" w:color="auto"/>
            <w:bottom w:val="none" w:sz="0" w:space="0" w:color="auto"/>
            <w:right w:val="none" w:sz="0" w:space="0" w:color="auto"/>
          </w:divBdr>
        </w:div>
        <w:div w:id="643390584">
          <w:marLeft w:val="0"/>
          <w:marRight w:val="0"/>
          <w:marTop w:val="0"/>
          <w:marBottom w:val="0"/>
          <w:divBdr>
            <w:top w:val="none" w:sz="0" w:space="0" w:color="auto"/>
            <w:left w:val="none" w:sz="0" w:space="0" w:color="auto"/>
            <w:bottom w:val="none" w:sz="0" w:space="0" w:color="auto"/>
            <w:right w:val="none" w:sz="0" w:space="0" w:color="auto"/>
          </w:divBdr>
        </w:div>
        <w:div w:id="391077104">
          <w:marLeft w:val="0"/>
          <w:marRight w:val="0"/>
          <w:marTop w:val="0"/>
          <w:marBottom w:val="0"/>
          <w:divBdr>
            <w:top w:val="none" w:sz="0" w:space="0" w:color="auto"/>
            <w:left w:val="none" w:sz="0" w:space="0" w:color="auto"/>
            <w:bottom w:val="none" w:sz="0" w:space="0" w:color="auto"/>
            <w:right w:val="none" w:sz="0" w:space="0" w:color="auto"/>
          </w:divBdr>
        </w:div>
      </w:divsChild>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1793403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97513836">
      <w:bodyDiv w:val="1"/>
      <w:marLeft w:val="0"/>
      <w:marRight w:val="0"/>
      <w:marTop w:val="0"/>
      <w:marBottom w:val="0"/>
      <w:divBdr>
        <w:top w:val="none" w:sz="0" w:space="0" w:color="auto"/>
        <w:left w:val="none" w:sz="0" w:space="0" w:color="auto"/>
        <w:bottom w:val="none" w:sz="0" w:space="0" w:color="auto"/>
        <w:right w:val="none" w:sz="0" w:space="0" w:color="auto"/>
      </w:divBdr>
      <w:divsChild>
        <w:div w:id="1686637760">
          <w:marLeft w:val="0"/>
          <w:marRight w:val="0"/>
          <w:marTop w:val="0"/>
          <w:marBottom w:val="0"/>
          <w:divBdr>
            <w:top w:val="single" w:sz="2" w:space="0" w:color="auto"/>
            <w:left w:val="single" w:sz="2" w:space="0" w:color="auto"/>
            <w:bottom w:val="single" w:sz="2" w:space="0" w:color="auto"/>
            <w:right w:val="single" w:sz="2" w:space="0" w:color="auto"/>
          </w:divBdr>
        </w:div>
        <w:div w:id="528639354">
          <w:marLeft w:val="0"/>
          <w:marRight w:val="0"/>
          <w:marTop w:val="0"/>
          <w:marBottom w:val="0"/>
          <w:divBdr>
            <w:top w:val="single" w:sz="2" w:space="0" w:color="auto"/>
            <w:left w:val="single" w:sz="2" w:space="0" w:color="auto"/>
            <w:bottom w:val="single" w:sz="2" w:space="0" w:color="auto"/>
            <w:right w:val="single" w:sz="2" w:space="0" w:color="auto"/>
          </w:divBdr>
        </w:div>
      </w:divsChild>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48968337">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4822093">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501206">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51859788">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2108</TotalTime>
  <Pages>3</Pages>
  <Words>735</Words>
  <Characters>4196</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Sunlin Zhu/朱荪菻</cp:lastModifiedBy>
  <cp:revision>12</cp:revision>
  <cp:lastPrinted>2019-04-25T01:09:00Z</cp:lastPrinted>
  <dcterms:created xsi:type="dcterms:W3CDTF">2025-08-12T03:10:00Z</dcterms:created>
  <dcterms:modified xsi:type="dcterms:W3CDTF">2025-08-15T04:56:00Z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CWM858e6e80e95911ef80007f7a00007e7a">
    <vt:lpwstr>CWMH+ZimRrqmLsdxhuWyUloRS8mgwzGMLlf226prGNFrvWDp8gDgUhnou2EBifhHL1f2MJHZM+osef+eyxiia0Bgg==</vt:lpwstr>
  </property>
</Properties>
</file>